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5A6" w:rsidRDefault="00D835A6" w:rsidP="00D835A6">
      <w:pPr>
        <w:pStyle w:val="Heading3"/>
        <w:jc w:val="center"/>
        <w:rPr>
          <w:rFonts w:ascii="Times New Roman" w:hAnsi="Times New Roman" w:cs="Times New Roman"/>
          <w:color w:val="auto"/>
          <w:sz w:val="24"/>
          <w:szCs w:val="24"/>
        </w:rPr>
      </w:pPr>
      <w:r>
        <w:rPr>
          <w:rFonts w:ascii="Times New Roman" w:hAnsi="Times New Roman" w:cs="Times New Roman"/>
          <w:color w:val="auto"/>
          <w:sz w:val="24"/>
          <w:szCs w:val="24"/>
        </w:rPr>
        <w:t>Docket No. 29849</w:t>
      </w:r>
    </w:p>
    <w:p w:rsidR="00D835A6" w:rsidRDefault="00D835A6" w:rsidP="00D835A6"/>
    <w:p w:rsidR="00D835A6" w:rsidRDefault="00D835A6" w:rsidP="00D835A6">
      <w:pPr>
        <w:ind w:left="720" w:hanging="720"/>
        <w:rPr>
          <w:rFonts w:ascii="Times New Roman" w:hAnsi="Times New Roman"/>
          <w:b/>
          <w:bCs/>
          <w:sz w:val="24"/>
          <w:szCs w:val="24"/>
        </w:rPr>
      </w:pPr>
      <w:r w:rsidRPr="00D835A6">
        <w:rPr>
          <w:rFonts w:ascii="Times New Roman" w:hAnsi="Times New Roman"/>
          <w:b/>
          <w:sz w:val="24"/>
          <w:szCs w:val="24"/>
        </w:rPr>
        <w:t>In Re:</w:t>
      </w:r>
      <w:r>
        <w:rPr>
          <w:rFonts w:ascii="Times New Roman" w:hAnsi="Times New Roman"/>
          <w:sz w:val="24"/>
          <w:szCs w:val="24"/>
        </w:rPr>
        <w:t xml:space="preserve">  </w:t>
      </w:r>
      <w:r w:rsidRPr="00D835A6">
        <w:rPr>
          <w:rFonts w:ascii="Times New Roman" w:hAnsi="Times New Roman"/>
          <w:b/>
          <w:bCs/>
          <w:sz w:val="24"/>
          <w:szCs w:val="24"/>
        </w:rPr>
        <w:t>GEORGIA POWER COMPANY’S SEVENTEENTH SEMI-ANNUAL VOGTLE CONSTRUCTION MONITORING REPORT</w:t>
      </w:r>
    </w:p>
    <w:p w:rsidR="00D835A6" w:rsidRPr="00D835A6" w:rsidRDefault="00D835A6" w:rsidP="00D835A6">
      <w:pPr>
        <w:ind w:left="720" w:hanging="720"/>
        <w:jc w:val="center"/>
        <w:rPr>
          <w:rFonts w:ascii="Times New Roman" w:hAnsi="Times New Roman"/>
          <w:b/>
          <w:bCs/>
          <w:sz w:val="24"/>
          <w:szCs w:val="24"/>
          <w:u w:val="single"/>
        </w:rPr>
      </w:pPr>
      <w:r>
        <w:rPr>
          <w:rFonts w:ascii="Times New Roman" w:hAnsi="Times New Roman"/>
          <w:b/>
          <w:bCs/>
          <w:sz w:val="24"/>
          <w:szCs w:val="24"/>
          <w:u w:val="single"/>
        </w:rPr>
        <w:t>PROPOSED ORDER OF THE PUBLIC INTEREST ADVOCACY STAFF</w:t>
      </w:r>
    </w:p>
    <w:p w:rsidR="00D835A6" w:rsidRDefault="00D835A6" w:rsidP="00215B57">
      <w:pPr>
        <w:spacing w:line="240" w:lineRule="auto"/>
        <w:contextualSpacing/>
        <w:jc w:val="center"/>
        <w:rPr>
          <w:rFonts w:ascii="Times New Roman" w:hAnsi="Times New Roman"/>
          <w:b/>
          <w:sz w:val="24"/>
          <w:szCs w:val="24"/>
        </w:rPr>
      </w:pPr>
    </w:p>
    <w:p w:rsidR="00215B57" w:rsidRDefault="00BF13D7" w:rsidP="00215B57">
      <w:pPr>
        <w:spacing w:line="240" w:lineRule="auto"/>
        <w:contextualSpacing/>
        <w:jc w:val="center"/>
        <w:rPr>
          <w:rFonts w:ascii="Times New Roman" w:hAnsi="Times New Roman"/>
          <w:b/>
          <w:sz w:val="24"/>
          <w:szCs w:val="24"/>
          <w:u w:val="single"/>
        </w:rPr>
      </w:pPr>
      <w:r w:rsidRPr="00BF13D7">
        <w:rPr>
          <w:rFonts w:ascii="Times New Roman" w:hAnsi="Times New Roman"/>
          <w:b/>
          <w:sz w:val="24"/>
          <w:szCs w:val="24"/>
        </w:rPr>
        <w:t>I.</w:t>
      </w:r>
      <w:r w:rsidRPr="00BF13D7">
        <w:rPr>
          <w:rFonts w:ascii="Times New Roman" w:hAnsi="Times New Roman"/>
          <w:b/>
          <w:sz w:val="24"/>
          <w:szCs w:val="24"/>
        </w:rPr>
        <w:tab/>
      </w:r>
      <w:r w:rsidR="00215B57">
        <w:rPr>
          <w:rFonts w:ascii="Times New Roman" w:hAnsi="Times New Roman"/>
          <w:b/>
          <w:sz w:val="24"/>
          <w:szCs w:val="24"/>
          <w:u w:val="single"/>
        </w:rPr>
        <w:t>INTRODUCTION</w:t>
      </w:r>
    </w:p>
    <w:p w:rsidR="00215B57" w:rsidRPr="00215B57" w:rsidRDefault="00215B57" w:rsidP="00215B57">
      <w:pPr>
        <w:spacing w:line="240" w:lineRule="auto"/>
        <w:contextualSpacing/>
        <w:jc w:val="center"/>
        <w:rPr>
          <w:rFonts w:ascii="Times New Roman" w:hAnsi="Times New Roman"/>
          <w:b/>
          <w:sz w:val="24"/>
          <w:szCs w:val="24"/>
          <w:u w:val="single"/>
        </w:rPr>
      </w:pPr>
    </w:p>
    <w:p w:rsidR="002571AF" w:rsidRDefault="001B2EC8" w:rsidP="00BF13D7">
      <w:pPr>
        <w:spacing w:line="240" w:lineRule="auto"/>
        <w:ind w:firstLine="720"/>
        <w:contextualSpacing/>
        <w:jc w:val="both"/>
        <w:rPr>
          <w:rFonts w:ascii="Times New Roman" w:hAnsi="Times New Roman"/>
          <w:sz w:val="24"/>
          <w:szCs w:val="24"/>
        </w:rPr>
      </w:pPr>
      <w:r w:rsidRPr="00215B57">
        <w:rPr>
          <w:rFonts w:ascii="Times New Roman" w:hAnsi="Times New Roman"/>
          <w:sz w:val="24"/>
          <w:szCs w:val="24"/>
        </w:rPr>
        <w:t>Georgia Power Company</w:t>
      </w:r>
      <w:r w:rsidR="00632529" w:rsidRPr="00215B57">
        <w:rPr>
          <w:rFonts w:ascii="Times New Roman" w:hAnsi="Times New Roman"/>
          <w:sz w:val="24"/>
          <w:szCs w:val="24"/>
        </w:rPr>
        <w:t xml:space="preserve"> </w:t>
      </w:r>
      <w:r w:rsidR="009C6006">
        <w:rPr>
          <w:rFonts w:ascii="Times New Roman" w:hAnsi="Times New Roman"/>
          <w:sz w:val="24"/>
          <w:szCs w:val="24"/>
        </w:rPr>
        <w:t xml:space="preserve">(“Georgia Power” or “Company”) </w:t>
      </w:r>
      <w:r w:rsidR="00632529" w:rsidRPr="00215B57">
        <w:rPr>
          <w:rFonts w:ascii="Times New Roman" w:hAnsi="Times New Roman"/>
          <w:sz w:val="24"/>
          <w:szCs w:val="24"/>
        </w:rPr>
        <w:t xml:space="preserve">is asking that the </w:t>
      </w:r>
      <w:r w:rsidR="009C6006">
        <w:rPr>
          <w:rFonts w:ascii="Times New Roman" w:hAnsi="Times New Roman"/>
          <w:sz w:val="24"/>
          <w:szCs w:val="24"/>
        </w:rPr>
        <w:t>Georgia Public Service Commission (“</w:t>
      </w:r>
      <w:r w:rsidR="00632529" w:rsidRPr="00215B57">
        <w:rPr>
          <w:rFonts w:ascii="Times New Roman" w:hAnsi="Times New Roman"/>
          <w:sz w:val="24"/>
          <w:szCs w:val="24"/>
        </w:rPr>
        <w:t>Commission</w:t>
      </w:r>
      <w:r w:rsidR="009C6006">
        <w:rPr>
          <w:rFonts w:ascii="Times New Roman" w:hAnsi="Times New Roman"/>
          <w:sz w:val="24"/>
          <w:szCs w:val="24"/>
        </w:rPr>
        <w:t>”)</w:t>
      </w:r>
      <w:r w:rsidR="00632529" w:rsidRPr="00215B57">
        <w:rPr>
          <w:rFonts w:ascii="Times New Roman" w:hAnsi="Times New Roman"/>
          <w:sz w:val="24"/>
          <w:szCs w:val="24"/>
        </w:rPr>
        <w:t xml:space="preserve"> </w:t>
      </w:r>
      <w:r w:rsidRPr="00215B57">
        <w:rPr>
          <w:rFonts w:ascii="Times New Roman" w:hAnsi="Times New Roman"/>
          <w:sz w:val="24"/>
          <w:szCs w:val="24"/>
        </w:rPr>
        <w:t xml:space="preserve">verify and </w:t>
      </w:r>
      <w:r w:rsidR="00632529" w:rsidRPr="00215B57">
        <w:rPr>
          <w:rFonts w:ascii="Times New Roman" w:hAnsi="Times New Roman"/>
          <w:sz w:val="24"/>
          <w:szCs w:val="24"/>
        </w:rPr>
        <w:t>approve its increased costs and schedules to complete Plant Vogtle 3 and 4</w:t>
      </w:r>
      <w:r w:rsidR="002F5567" w:rsidRPr="00215B57">
        <w:rPr>
          <w:rFonts w:ascii="Times New Roman" w:hAnsi="Times New Roman"/>
          <w:sz w:val="24"/>
          <w:szCs w:val="24"/>
        </w:rPr>
        <w:t xml:space="preserve"> (“Project”)</w:t>
      </w:r>
      <w:r w:rsidRPr="00215B57">
        <w:rPr>
          <w:rFonts w:ascii="Times New Roman" w:hAnsi="Times New Roman"/>
          <w:sz w:val="24"/>
          <w:szCs w:val="24"/>
        </w:rPr>
        <w:t xml:space="preserve">.  Implicit in this request is that the Commission </w:t>
      </w:r>
      <w:r w:rsidR="00632529" w:rsidRPr="00215B57">
        <w:rPr>
          <w:rFonts w:ascii="Times New Roman" w:hAnsi="Times New Roman"/>
          <w:sz w:val="24"/>
          <w:szCs w:val="24"/>
        </w:rPr>
        <w:t xml:space="preserve">deem these increased costs reasonable to recover from ratepayers.  The Company carries the burden of proof to make this showing. </w:t>
      </w:r>
      <w:r w:rsidR="002F5567" w:rsidRPr="00215B57">
        <w:rPr>
          <w:rFonts w:ascii="Times New Roman" w:hAnsi="Times New Roman"/>
          <w:sz w:val="24"/>
          <w:szCs w:val="24"/>
        </w:rPr>
        <w:t>O.C.G.A. § 46-3A-7(a)</w:t>
      </w:r>
      <w:r w:rsidR="00D3484B">
        <w:rPr>
          <w:rFonts w:ascii="Times New Roman" w:hAnsi="Times New Roman"/>
          <w:sz w:val="24"/>
          <w:szCs w:val="24"/>
        </w:rPr>
        <w:t>; SIR Stipulation, Para. 5</w:t>
      </w:r>
      <w:r w:rsidR="002F5567" w:rsidRPr="00215B57">
        <w:rPr>
          <w:rFonts w:ascii="Times New Roman" w:hAnsi="Times New Roman"/>
          <w:sz w:val="24"/>
          <w:szCs w:val="24"/>
        </w:rPr>
        <w:t>.</w:t>
      </w:r>
      <w:r w:rsidR="00632529" w:rsidRPr="00215B57">
        <w:rPr>
          <w:rFonts w:ascii="Times New Roman" w:hAnsi="Times New Roman"/>
          <w:sz w:val="24"/>
          <w:szCs w:val="24"/>
        </w:rPr>
        <w:t xml:space="preserve"> For factual</w:t>
      </w:r>
      <w:r w:rsidR="009154DA" w:rsidRPr="00215B57">
        <w:rPr>
          <w:rFonts w:ascii="Times New Roman" w:hAnsi="Times New Roman"/>
          <w:sz w:val="24"/>
          <w:szCs w:val="24"/>
        </w:rPr>
        <w:t xml:space="preserve"> and legal </w:t>
      </w:r>
      <w:r w:rsidR="00BC53BF" w:rsidRPr="00215B57">
        <w:rPr>
          <w:rFonts w:ascii="Times New Roman" w:hAnsi="Times New Roman"/>
          <w:sz w:val="24"/>
          <w:szCs w:val="24"/>
        </w:rPr>
        <w:t xml:space="preserve">reasons, the Commission </w:t>
      </w:r>
      <w:r w:rsidR="00632529" w:rsidRPr="00215B57">
        <w:rPr>
          <w:rFonts w:ascii="Times New Roman" w:hAnsi="Times New Roman"/>
          <w:sz w:val="24"/>
          <w:szCs w:val="24"/>
        </w:rPr>
        <w:t>finds that the Company has not satisfied its burden with respect to the proposed cost increases</w:t>
      </w:r>
      <w:r w:rsidR="00BC53BF" w:rsidRPr="00215B57">
        <w:rPr>
          <w:rFonts w:ascii="Times New Roman" w:hAnsi="Times New Roman"/>
          <w:sz w:val="24"/>
          <w:szCs w:val="24"/>
        </w:rPr>
        <w:t xml:space="preserve"> </w:t>
      </w:r>
      <w:r w:rsidR="00632529" w:rsidRPr="00215B57">
        <w:rPr>
          <w:rFonts w:ascii="Times New Roman" w:hAnsi="Times New Roman"/>
          <w:sz w:val="24"/>
          <w:szCs w:val="24"/>
        </w:rPr>
        <w:t>above</w:t>
      </w:r>
      <w:r w:rsidR="00BC53BF" w:rsidRPr="00215B57">
        <w:rPr>
          <w:rFonts w:ascii="Times New Roman" w:hAnsi="Times New Roman"/>
          <w:sz w:val="24"/>
          <w:szCs w:val="24"/>
        </w:rPr>
        <w:t xml:space="preserve"> $9</w:t>
      </w:r>
      <w:r w:rsidR="002F5567" w:rsidRPr="00215B57">
        <w:rPr>
          <w:rFonts w:ascii="Times New Roman" w:hAnsi="Times New Roman"/>
          <w:sz w:val="24"/>
          <w:szCs w:val="24"/>
        </w:rPr>
        <w:t>.0</w:t>
      </w:r>
      <w:r w:rsidR="00BC53BF" w:rsidRPr="00215B57">
        <w:rPr>
          <w:rFonts w:ascii="Times New Roman" w:hAnsi="Times New Roman"/>
          <w:sz w:val="24"/>
          <w:szCs w:val="24"/>
        </w:rPr>
        <w:t xml:space="preserve"> billion</w:t>
      </w:r>
      <w:r w:rsidR="009154DA" w:rsidRPr="00215B57">
        <w:rPr>
          <w:rFonts w:ascii="Times New Roman" w:hAnsi="Times New Roman"/>
          <w:sz w:val="24"/>
          <w:szCs w:val="24"/>
        </w:rPr>
        <w:t>.</w:t>
      </w:r>
      <w:r w:rsidR="00632529" w:rsidRPr="00215B57">
        <w:rPr>
          <w:rFonts w:ascii="Times New Roman" w:hAnsi="Times New Roman"/>
          <w:sz w:val="24"/>
          <w:szCs w:val="24"/>
        </w:rPr>
        <w:t xml:space="preserve">  Therefore, the Commission disapproves such costs.</w:t>
      </w:r>
      <w:r w:rsidR="00C376B6" w:rsidRPr="00215B57">
        <w:rPr>
          <w:rFonts w:ascii="Times New Roman" w:hAnsi="Times New Roman"/>
          <w:sz w:val="24"/>
          <w:szCs w:val="24"/>
        </w:rPr>
        <w:t xml:space="preserve"> The Company may either complete the Project with a portion of its proposed cost revisions disapproved, or it may decide to cancel the </w:t>
      </w:r>
      <w:r w:rsidR="00963E29">
        <w:rPr>
          <w:rFonts w:ascii="Times New Roman" w:hAnsi="Times New Roman"/>
          <w:sz w:val="24"/>
          <w:szCs w:val="24"/>
        </w:rPr>
        <w:t>Project</w:t>
      </w:r>
      <w:r w:rsidR="00C376B6" w:rsidRPr="00215B57">
        <w:rPr>
          <w:rFonts w:ascii="Times New Roman" w:hAnsi="Times New Roman"/>
          <w:sz w:val="24"/>
          <w:szCs w:val="24"/>
        </w:rPr>
        <w:t xml:space="preserve">.  If the Company chooses not to complete the Project, then the Commission will initiate a proceeding to review what portion of its investment it should recover.  </w:t>
      </w:r>
      <w:r w:rsidR="00C376B6" w:rsidRPr="00215B57">
        <w:rPr>
          <w:rFonts w:ascii="Times New Roman" w:hAnsi="Times New Roman"/>
          <w:i/>
          <w:sz w:val="24"/>
          <w:szCs w:val="24"/>
        </w:rPr>
        <w:t>See</w:t>
      </w:r>
      <w:r w:rsidR="00C376B6" w:rsidRPr="00215B57">
        <w:rPr>
          <w:rFonts w:ascii="Times New Roman" w:hAnsi="Times New Roman"/>
          <w:sz w:val="24"/>
          <w:szCs w:val="24"/>
        </w:rPr>
        <w:t xml:space="preserve"> O.C.G.A. § 46-3A-7(d).</w:t>
      </w:r>
      <w:r w:rsidR="002571AF" w:rsidRPr="00215B57">
        <w:rPr>
          <w:rFonts w:ascii="Times New Roman" w:hAnsi="Times New Roman"/>
          <w:sz w:val="24"/>
          <w:szCs w:val="24"/>
        </w:rPr>
        <w:tab/>
      </w:r>
    </w:p>
    <w:p w:rsidR="00215B57" w:rsidRPr="00215B57" w:rsidRDefault="00215B57" w:rsidP="00BF13D7">
      <w:pPr>
        <w:spacing w:line="240" w:lineRule="auto"/>
        <w:ind w:firstLine="720"/>
        <w:contextualSpacing/>
        <w:jc w:val="both"/>
        <w:rPr>
          <w:rFonts w:ascii="Times New Roman" w:hAnsi="Times New Roman"/>
          <w:sz w:val="24"/>
          <w:szCs w:val="24"/>
        </w:rPr>
      </w:pPr>
    </w:p>
    <w:p w:rsidR="000617EB" w:rsidRDefault="007C34C1" w:rsidP="00BF13D7">
      <w:pPr>
        <w:spacing w:line="240" w:lineRule="auto"/>
        <w:ind w:firstLine="720"/>
        <w:contextualSpacing/>
        <w:jc w:val="both"/>
        <w:rPr>
          <w:rFonts w:ascii="Times New Roman" w:hAnsi="Times New Roman"/>
          <w:sz w:val="24"/>
          <w:szCs w:val="24"/>
        </w:rPr>
      </w:pPr>
      <w:r w:rsidRPr="00215B57">
        <w:rPr>
          <w:rFonts w:ascii="Times New Roman" w:hAnsi="Times New Roman"/>
          <w:sz w:val="24"/>
          <w:szCs w:val="24"/>
        </w:rPr>
        <w:t>There are two reasons for disapproving any proposed cost revisions that exceed $9.0 billion.  First, the least cost alternative to the Project is $</w:t>
      </w:r>
      <w:r w:rsidR="00264207">
        <w:rPr>
          <w:rFonts w:ascii="Times New Roman" w:hAnsi="Times New Roman"/>
          <w:sz w:val="24"/>
          <w:szCs w:val="24"/>
        </w:rPr>
        <w:t>8.</w:t>
      </w:r>
      <w:r w:rsidRPr="00215B57">
        <w:rPr>
          <w:rFonts w:ascii="Times New Roman" w:hAnsi="Times New Roman"/>
          <w:sz w:val="24"/>
          <w:szCs w:val="24"/>
        </w:rPr>
        <w:t xml:space="preserve">9 billion; therefore the Project is uneconomic above this amount.  </w:t>
      </w:r>
      <w:r w:rsidR="000674B6">
        <w:rPr>
          <w:rFonts w:ascii="Times New Roman" w:hAnsi="Times New Roman"/>
          <w:sz w:val="24"/>
          <w:szCs w:val="24"/>
        </w:rPr>
        <w:t>The $</w:t>
      </w:r>
      <w:r w:rsidR="00264207">
        <w:rPr>
          <w:rFonts w:ascii="Times New Roman" w:hAnsi="Times New Roman"/>
          <w:sz w:val="24"/>
          <w:szCs w:val="24"/>
        </w:rPr>
        <w:t>8.9</w:t>
      </w:r>
      <w:r w:rsidR="000674B6">
        <w:rPr>
          <w:rFonts w:ascii="Times New Roman" w:hAnsi="Times New Roman"/>
          <w:sz w:val="24"/>
          <w:szCs w:val="24"/>
        </w:rPr>
        <w:t xml:space="preserve"> billion figure is derived from </w:t>
      </w:r>
      <w:r w:rsidR="00BF13D7">
        <w:rPr>
          <w:rFonts w:ascii="Times New Roman" w:hAnsi="Times New Roman"/>
          <w:sz w:val="24"/>
          <w:szCs w:val="24"/>
        </w:rPr>
        <w:t xml:space="preserve">the analysis of the Public Interest Advocacy </w:t>
      </w:r>
      <w:r w:rsidR="000674B6">
        <w:rPr>
          <w:rFonts w:ascii="Times New Roman" w:hAnsi="Times New Roman"/>
          <w:sz w:val="24"/>
          <w:szCs w:val="24"/>
        </w:rPr>
        <w:t>Staff</w:t>
      </w:r>
      <w:r w:rsidR="00BF13D7">
        <w:rPr>
          <w:rFonts w:ascii="Times New Roman" w:hAnsi="Times New Roman"/>
          <w:sz w:val="24"/>
          <w:szCs w:val="24"/>
        </w:rPr>
        <w:t xml:space="preserve"> (“PIAS” or “Staff”)</w:t>
      </w:r>
      <w:r w:rsidR="000674B6">
        <w:rPr>
          <w:rFonts w:ascii="Times New Roman" w:hAnsi="Times New Roman"/>
          <w:sz w:val="24"/>
          <w:szCs w:val="24"/>
        </w:rPr>
        <w:t xml:space="preserve"> of the cost to cancel the </w:t>
      </w:r>
      <w:r w:rsidR="00963E29">
        <w:rPr>
          <w:rFonts w:ascii="Times New Roman" w:hAnsi="Times New Roman"/>
          <w:sz w:val="24"/>
          <w:szCs w:val="24"/>
        </w:rPr>
        <w:t>Project</w:t>
      </w:r>
      <w:r w:rsidR="000674B6">
        <w:rPr>
          <w:rFonts w:ascii="Times New Roman" w:hAnsi="Times New Roman"/>
          <w:sz w:val="24"/>
          <w:szCs w:val="24"/>
        </w:rPr>
        <w:t xml:space="preserve"> and build a combined cycle unit (“CC”).</w:t>
      </w:r>
      <w:r w:rsidR="000674B6" w:rsidRPr="00215B57">
        <w:rPr>
          <w:rFonts w:ascii="Times New Roman" w:hAnsi="Times New Roman"/>
          <w:sz w:val="24"/>
          <w:szCs w:val="24"/>
        </w:rPr>
        <w:t xml:space="preserve"> </w:t>
      </w:r>
      <w:r w:rsidR="000674B6">
        <w:rPr>
          <w:rFonts w:ascii="Times New Roman" w:hAnsi="Times New Roman"/>
          <w:sz w:val="24"/>
          <w:szCs w:val="24"/>
        </w:rPr>
        <w:t xml:space="preserve"> </w:t>
      </w:r>
      <w:r w:rsidR="000617EB" w:rsidRPr="00215B57">
        <w:rPr>
          <w:rFonts w:ascii="Times New Roman" w:hAnsi="Times New Roman"/>
          <w:sz w:val="24"/>
          <w:szCs w:val="24"/>
        </w:rPr>
        <w:t xml:space="preserve">Ratepayers should not have to pay more for the Project on a </w:t>
      </w:r>
      <w:r w:rsidRPr="00215B57">
        <w:rPr>
          <w:rFonts w:ascii="Times New Roman" w:hAnsi="Times New Roman"/>
          <w:sz w:val="24"/>
          <w:szCs w:val="24"/>
        </w:rPr>
        <w:t>going forward</w:t>
      </w:r>
      <w:r w:rsidR="009154DA" w:rsidRPr="00215B57">
        <w:rPr>
          <w:rFonts w:ascii="Times New Roman" w:hAnsi="Times New Roman"/>
          <w:sz w:val="24"/>
          <w:szCs w:val="24"/>
        </w:rPr>
        <w:t xml:space="preserve"> basis tha</w:t>
      </w:r>
      <w:r w:rsidR="000617EB" w:rsidRPr="00215B57">
        <w:rPr>
          <w:rFonts w:ascii="Times New Roman" w:hAnsi="Times New Roman"/>
          <w:sz w:val="24"/>
          <w:szCs w:val="24"/>
        </w:rPr>
        <w:t>n the</w:t>
      </w:r>
      <w:r w:rsidR="009154DA" w:rsidRPr="00215B57">
        <w:rPr>
          <w:rFonts w:ascii="Times New Roman" w:hAnsi="Times New Roman"/>
          <w:sz w:val="24"/>
          <w:szCs w:val="24"/>
        </w:rPr>
        <w:t xml:space="preserve"> costs associated with the</w:t>
      </w:r>
      <w:r w:rsidR="000617EB" w:rsidRPr="00215B57">
        <w:rPr>
          <w:rFonts w:ascii="Times New Roman" w:hAnsi="Times New Roman"/>
          <w:sz w:val="24"/>
          <w:szCs w:val="24"/>
        </w:rPr>
        <w:t xml:space="preserve"> least cost alternative to meet the demand on Georgia Power’s system.</w:t>
      </w:r>
      <w:r w:rsidRPr="00215B57">
        <w:rPr>
          <w:rFonts w:ascii="Times New Roman" w:hAnsi="Times New Roman"/>
          <w:sz w:val="24"/>
          <w:szCs w:val="24"/>
        </w:rPr>
        <w:t xml:space="preserve">  </w:t>
      </w:r>
      <w:r w:rsidR="001822B6" w:rsidRPr="00215B57">
        <w:rPr>
          <w:rFonts w:ascii="Times New Roman" w:hAnsi="Times New Roman"/>
          <w:sz w:val="24"/>
          <w:szCs w:val="24"/>
        </w:rPr>
        <w:t xml:space="preserve">This Commission has long recognized that the purpose of </w:t>
      </w:r>
      <w:r w:rsidRPr="00215B57">
        <w:rPr>
          <w:rFonts w:ascii="Times New Roman" w:hAnsi="Times New Roman"/>
          <w:sz w:val="24"/>
          <w:szCs w:val="24"/>
        </w:rPr>
        <w:t>an integrated resource plan</w:t>
      </w:r>
      <w:r w:rsidR="001822B6" w:rsidRPr="00215B57">
        <w:rPr>
          <w:rFonts w:ascii="Times New Roman" w:hAnsi="Times New Roman"/>
          <w:sz w:val="24"/>
          <w:szCs w:val="24"/>
        </w:rPr>
        <w:t xml:space="preserve"> and certification proceedings is to identify th</w:t>
      </w:r>
      <w:r w:rsidRPr="00215B57">
        <w:rPr>
          <w:rFonts w:ascii="Times New Roman" w:hAnsi="Times New Roman"/>
          <w:sz w:val="24"/>
          <w:szCs w:val="24"/>
        </w:rPr>
        <w:t xml:space="preserve">e least cost reliable resource.  Obligating </w:t>
      </w:r>
      <w:r w:rsidR="001822B6" w:rsidRPr="00215B57">
        <w:rPr>
          <w:rFonts w:ascii="Times New Roman" w:hAnsi="Times New Roman"/>
          <w:sz w:val="24"/>
          <w:szCs w:val="24"/>
        </w:rPr>
        <w:t>ratepayers</w:t>
      </w:r>
      <w:r w:rsidRPr="00215B57">
        <w:rPr>
          <w:rFonts w:ascii="Times New Roman" w:hAnsi="Times New Roman"/>
          <w:sz w:val="24"/>
          <w:szCs w:val="24"/>
        </w:rPr>
        <w:t xml:space="preserve"> to pay for an uneconomic resource has the effect of penalizing the utility’s customers.</w:t>
      </w:r>
      <w:r w:rsidR="001537C2" w:rsidRPr="00215B57">
        <w:rPr>
          <w:rFonts w:ascii="Times New Roman" w:hAnsi="Times New Roman"/>
          <w:sz w:val="24"/>
          <w:szCs w:val="24"/>
        </w:rPr>
        <w:t xml:space="preserve">    </w:t>
      </w:r>
    </w:p>
    <w:p w:rsidR="00215B57" w:rsidRPr="00215B57" w:rsidRDefault="00215B57" w:rsidP="00BF13D7">
      <w:pPr>
        <w:spacing w:line="240" w:lineRule="auto"/>
        <w:ind w:firstLine="720"/>
        <w:contextualSpacing/>
        <w:jc w:val="both"/>
        <w:rPr>
          <w:rFonts w:ascii="Times New Roman" w:hAnsi="Times New Roman"/>
          <w:sz w:val="24"/>
          <w:szCs w:val="24"/>
        </w:rPr>
      </w:pPr>
    </w:p>
    <w:p w:rsidR="000617EB" w:rsidRDefault="001822B6" w:rsidP="00BF13D7">
      <w:pPr>
        <w:spacing w:line="240" w:lineRule="auto"/>
        <w:contextualSpacing/>
        <w:jc w:val="both"/>
        <w:rPr>
          <w:rFonts w:ascii="Times New Roman" w:hAnsi="Times New Roman"/>
          <w:sz w:val="24"/>
          <w:szCs w:val="24"/>
        </w:rPr>
      </w:pPr>
      <w:r w:rsidRPr="00215B57">
        <w:rPr>
          <w:rFonts w:ascii="Times New Roman" w:hAnsi="Times New Roman"/>
          <w:sz w:val="24"/>
          <w:szCs w:val="24"/>
        </w:rPr>
        <w:tab/>
      </w:r>
      <w:r w:rsidR="00D175A5" w:rsidRPr="00215B57">
        <w:rPr>
          <w:rFonts w:ascii="Times New Roman" w:hAnsi="Times New Roman"/>
          <w:sz w:val="24"/>
          <w:szCs w:val="24"/>
        </w:rPr>
        <w:t>The Project</w:t>
      </w:r>
      <w:r w:rsidR="001537C2" w:rsidRPr="00215B57">
        <w:rPr>
          <w:rFonts w:ascii="Times New Roman" w:hAnsi="Times New Roman"/>
          <w:sz w:val="24"/>
          <w:szCs w:val="24"/>
        </w:rPr>
        <w:t xml:space="preserve"> is un</w:t>
      </w:r>
      <w:r w:rsidRPr="00215B57">
        <w:rPr>
          <w:rFonts w:ascii="Times New Roman" w:hAnsi="Times New Roman"/>
          <w:sz w:val="24"/>
          <w:szCs w:val="24"/>
        </w:rPr>
        <w:t xml:space="preserve">economic on a </w:t>
      </w:r>
      <w:r w:rsidR="00D175A5" w:rsidRPr="00215B57">
        <w:rPr>
          <w:rFonts w:ascii="Times New Roman" w:hAnsi="Times New Roman"/>
          <w:sz w:val="24"/>
          <w:szCs w:val="24"/>
        </w:rPr>
        <w:t>going forward</w:t>
      </w:r>
      <w:r w:rsidRPr="00215B57">
        <w:rPr>
          <w:rFonts w:ascii="Times New Roman" w:hAnsi="Times New Roman"/>
          <w:sz w:val="24"/>
          <w:szCs w:val="24"/>
        </w:rPr>
        <w:t xml:space="preserve"> bas</w:t>
      </w:r>
      <w:r w:rsidR="009154DA" w:rsidRPr="00215B57">
        <w:rPr>
          <w:rFonts w:ascii="Times New Roman" w:hAnsi="Times New Roman"/>
          <w:sz w:val="24"/>
          <w:szCs w:val="24"/>
        </w:rPr>
        <w:t>is</w:t>
      </w:r>
      <w:r w:rsidR="001537C2" w:rsidRPr="00215B57">
        <w:rPr>
          <w:rFonts w:ascii="Times New Roman" w:hAnsi="Times New Roman"/>
          <w:sz w:val="24"/>
          <w:szCs w:val="24"/>
        </w:rPr>
        <w:t xml:space="preserve"> by $1.6 billion</w:t>
      </w:r>
      <w:r w:rsidR="009154DA" w:rsidRPr="00215B57">
        <w:rPr>
          <w:rFonts w:ascii="Times New Roman" w:hAnsi="Times New Roman"/>
          <w:sz w:val="24"/>
          <w:szCs w:val="24"/>
        </w:rPr>
        <w:t>.</w:t>
      </w:r>
      <w:r w:rsidR="00D175A5" w:rsidRPr="00215B57">
        <w:rPr>
          <w:rFonts w:ascii="Times New Roman" w:hAnsi="Times New Roman"/>
          <w:sz w:val="24"/>
          <w:szCs w:val="24"/>
        </w:rPr>
        <w:t xml:space="preserve">  </w:t>
      </w:r>
      <w:r w:rsidR="001537C2" w:rsidRPr="00215B57">
        <w:rPr>
          <w:rFonts w:ascii="Times New Roman" w:hAnsi="Times New Roman"/>
          <w:sz w:val="24"/>
          <w:szCs w:val="24"/>
        </w:rPr>
        <w:t>The Company’s analysis</w:t>
      </w:r>
      <w:r w:rsidR="00D175A5" w:rsidRPr="00215B57">
        <w:rPr>
          <w:rFonts w:ascii="Times New Roman" w:hAnsi="Times New Roman"/>
          <w:sz w:val="24"/>
          <w:szCs w:val="24"/>
        </w:rPr>
        <w:t xml:space="preserve"> of the Project’s economics</w:t>
      </w:r>
      <w:r w:rsidR="001537C2" w:rsidRPr="00215B57">
        <w:rPr>
          <w:rFonts w:ascii="Times New Roman" w:hAnsi="Times New Roman"/>
          <w:sz w:val="24"/>
          <w:szCs w:val="24"/>
        </w:rPr>
        <w:t xml:space="preserve"> is flawed on three grounds.</w:t>
      </w:r>
      <w:r w:rsidR="00D175A5" w:rsidRPr="00215B57">
        <w:rPr>
          <w:rFonts w:ascii="Times New Roman" w:hAnsi="Times New Roman"/>
          <w:sz w:val="24"/>
          <w:szCs w:val="24"/>
        </w:rPr>
        <w:t xml:space="preserve">  First, Georgia Power failed to account for the incremental income tax benefits of abandoning the Project.  The Company’s position is inconsistent as it does account for other incremental effects of abandoning the </w:t>
      </w:r>
      <w:r w:rsidR="009C6006">
        <w:rPr>
          <w:rFonts w:ascii="Times New Roman" w:hAnsi="Times New Roman"/>
          <w:sz w:val="24"/>
          <w:szCs w:val="24"/>
        </w:rPr>
        <w:t>P</w:t>
      </w:r>
      <w:r w:rsidR="009C6006" w:rsidRPr="00215B57">
        <w:rPr>
          <w:rFonts w:ascii="Times New Roman" w:hAnsi="Times New Roman"/>
          <w:sz w:val="24"/>
          <w:szCs w:val="24"/>
        </w:rPr>
        <w:t>roject</w:t>
      </w:r>
      <w:r w:rsidR="00D175A5" w:rsidRPr="00215B57">
        <w:rPr>
          <w:rFonts w:ascii="Times New Roman" w:hAnsi="Times New Roman"/>
          <w:sz w:val="24"/>
          <w:szCs w:val="24"/>
        </w:rPr>
        <w:t xml:space="preserve">, such as on salvage on the site equipment.  Georgia Power has </w:t>
      </w:r>
      <w:r w:rsidR="001537C2" w:rsidRPr="00215B57">
        <w:rPr>
          <w:rFonts w:ascii="Times New Roman" w:hAnsi="Times New Roman"/>
          <w:sz w:val="24"/>
          <w:szCs w:val="24"/>
        </w:rPr>
        <w:t xml:space="preserve">offered no </w:t>
      </w:r>
      <w:r w:rsidR="00D175A5" w:rsidRPr="00215B57">
        <w:rPr>
          <w:rFonts w:ascii="Times New Roman" w:hAnsi="Times New Roman"/>
          <w:sz w:val="24"/>
          <w:szCs w:val="24"/>
        </w:rPr>
        <w:t>justification</w:t>
      </w:r>
      <w:r w:rsidR="001537C2" w:rsidRPr="00215B57">
        <w:rPr>
          <w:rFonts w:ascii="Times New Roman" w:hAnsi="Times New Roman"/>
          <w:sz w:val="24"/>
          <w:szCs w:val="24"/>
        </w:rPr>
        <w:t xml:space="preserve"> for </w:t>
      </w:r>
      <w:r w:rsidR="00D175A5" w:rsidRPr="00215B57">
        <w:rPr>
          <w:rFonts w:ascii="Times New Roman" w:hAnsi="Times New Roman"/>
          <w:sz w:val="24"/>
          <w:szCs w:val="24"/>
        </w:rPr>
        <w:t>this</w:t>
      </w:r>
      <w:r w:rsidR="001537C2" w:rsidRPr="00215B57">
        <w:rPr>
          <w:rFonts w:ascii="Times New Roman" w:hAnsi="Times New Roman"/>
          <w:sz w:val="24"/>
          <w:szCs w:val="24"/>
        </w:rPr>
        <w:t xml:space="preserve"> inconsisten</w:t>
      </w:r>
      <w:r w:rsidR="00D175A5" w:rsidRPr="00215B57">
        <w:rPr>
          <w:rFonts w:ascii="Times New Roman" w:hAnsi="Times New Roman"/>
          <w:sz w:val="24"/>
          <w:szCs w:val="24"/>
        </w:rPr>
        <w:t>cy</w:t>
      </w:r>
      <w:r w:rsidR="001537C2" w:rsidRPr="00215B57">
        <w:rPr>
          <w:rFonts w:ascii="Times New Roman" w:hAnsi="Times New Roman"/>
          <w:sz w:val="24"/>
          <w:szCs w:val="24"/>
        </w:rPr>
        <w:t>.</w:t>
      </w:r>
      <w:r w:rsidR="00D175A5" w:rsidRPr="00215B57">
        <w:rPr>
          <w:rFonts w:ascii="Times New Roman" w:hAnsi="Times New Roman"/>
          <w:sz w:val="24"/>
          <w:szCs w:val="24"/>
        </w:rPr>
        <w:t xml:space="preserve">  Second, in an effort to make the Project appear more economic than it is, Georgia Power is proposing a shift in the Net Present Value date.  Not only does the Company propose such a change, but it proposes a dramatic change in the Net Present Value date from 2016 to 2021.  Thi</w:t>
      </w:r>
      <w:r w:rsidR="00DE105E" w:rsidRPr="00215B57">
        <w:rPr>
          <w:rFonts w:ascii="Times New Roman" w:hAnsi="Times New Roman"/>
          <w:sz w:val="24"/>
          <w:szCs w:val="24"/>
        </w:rPr>
        <w:t>rd, Georgia Power’s natural gas price forecasts are overstated because the Company unreasonably relies on a single source for its estimate as opposed to averaging numerous sources as was done by PIAS.</w:t>
      </w:r>
      <w:r w:rsidR="001537C2" w:rsidRPr="00215B57">
        <w:rPr>
          <w:rFonts w:ascii="Times New Roman" w:hAnsi="Times New Roman"/>
          <w:sz w:val="24"/>
          <w:szCs w:val="24"/>
        </w:rPr>
        <w:tab/>
      </w:r>
      <w:r w:rsidR="00DE105E" w:rsidRPr="00215B57">
        <w:rPr>
          <w:rFonts w:ascii="Times New Roman" w:hAnsi="Times New Roman"/>
          <w:sz w:val="24"/>
          <w:szCs w:val="24"/>
        </w:rPr>
        <w:t xml:space="preserve">This analysis assumes that Production Tax Credits </w:t>
      </w:r>
      <w:r w:rsidR="00B54B4D" w:rsidRPr="00215B57">
        <w:rPr>
          <w:rFonts w:ascii="Times New Roman" w:hAnsi="Times New Roman"/>
          <w:sz w:val="24"/>
          <w:szCs w:val="24"/>
        </w:rPr>
        <w:t xml:space="preserve">(“PTCs”) </w:t>
      </w:r>
      <w:r w:rsidR="00DE105E" w:rsidRPr="00215B57">
        <w:rPr>
          <w:rFonts w:ascii="Times New Roman" w:hAnsi="Times New Roman"/>
          <w:sz w:val="24"/>
          <w:szCs w:val="24"/>
        </w:rPr>
        <w:t xml:space="preserve">will not be </w:t>
      </w:r>
      <w:r w:rsidR="00DE105E" w:rsidRPr="00215B57">
        <w:rPr>
          <w:rFonts w:ascii="Times New Roman" w:hAnsi="Times New Roman"/>
          <w:sz w:val="24"/>
          <w:szCs w:val="24"/>
        </w:rPr>
        <w:lastRenderedPageBreak/>
        <w:t>extended through the Company’s new estimated completion date for the Project.  The reason for this is simple:  as of yet, the extension has not been approved, and there is no concrete evidence to support that it will be extended.</w:t>
      </w:r>
      <w:r w:rsidR="00D3484B">
        <w:rPr>
          <w:rFonts w:ascii="Times New Roman" w:hAnsi="Times New Roman"/>
          <w:sz w:val="24"/>
          <w:szCs w:val="24"/>
        </w:rPr>
        <w:t xml:space="preserve">  While the Company has stated that it is confident that the PTCs will be extended, this statement is belied by the fact that the Company insists that all of the risks of a non-extension be placed on ratepayers.</w:t>
      </w:r>
      <w:r w:rsidR="00DE105E" w:rsidRPr="00215B57">
        <w:rPr>
          <w:rFonts w:ascii="Times New Roman" w:hAnsi="Times New Roman"/>
          <w:sz w:val="24"/>
          <w:szCs w:val="24"/>
        </w:rPr>
        <w:t xml:space="preserve">  However, even if the PTCs were extended, the Project would still be uneconomic.</w:t>
      </w:r>
      <w:r w:rsidR="004D1161" w:rsidRPr="00215B57">
        <w:rPr>
          <w:rFonts w:ascii="Times New Roman" w:hAnsi="Times New Roman"/>
          <w:sz w:val="24"/>
          <w:szCs w:val="24"/>
        </w:rPr>
        <w:t xml:space="preserve">  </w:t>
      </w:r>
      <w:r w:rsidR="001537C2" w:rsidRPr="00215B57">
        <w:rPr>
          <w:rFonts w:ascii="Times New Roman" w:hAnsi="Times New Roman"/>
          <w:sz w:val="24"/>
          <w:szCs w:val="24"/>
        </w:rPr>
        <w:t xml:space="preserve">Because the costs that the Company seeks to recover from ratepayers on a </w:t>
      </w:r>
      <w:r w:rsidR="00DE105E" w:rsidRPr="00215B57">
        <w:rPr>
          <w:rFonts w:ascii="Times New Roman" w:hAnsi="Times New Roman"/>
          <w:sz w:val="24"/>
          <w:szCs w:val="24"/>
        </w:rPr>
        <w:t xml:space="preserve">going forward </w:t>
      </w:r>
      <w:r w:rsidR="001537C2" w:rsidRPr="00215B57">
        <w:rPr>
          <w:rFonts w:ascii="Times New Roman" w:hAnsi="Times New Roman"/>
          <w:sz w:val="24"/>
          <w:szCs w:val="24"/>
        </w:rPr>
        <w:t>basis exceed those of the least cost alternative, the Company cannot meet its burden that it is reasonable to recover these costs from ratepayers.</w:t>
      </w:r>
    </w:p>
    <w:p w:rsidR="00215B57" w:rsidRPr="00215B57" w:rsidRDefault="00215B57" w:rsidP="00BF13D7">
      <w:pPr>
        <w:spacing w:line="240" w:lineRule="auto"/>
        <w:contextualSpacing/>
        <w:jc w:val="both"/>
        <w:rPr>
          <w:rFonts w:ascii="Times New Roman" w:hAnsi="Times New Roman"/>
          <w:sz w:val="24"/>
          <w:szCs w:val="24"/>
        </w:rPr>
      </w:pPr>
    </w:p>
    <w:p w:rsidR="004D1161" w:rsidRDefault="00F20A87" w:rsidP="00BF13D7">
      <w:pPr>
        <w:spacing w:line="240" w:lineRule="auto"/>
        <w:contextualSpacing/>
        <w:jc w:val="both"/>
        <w:rPr>
          <w:rFonts w:ascii="Times New Roman" w:hAnsi="Times New Roman"/>
          <w:sz w:val="24"/>
          <w:szCs w:val="24"/>
        </w:rPr>
      </w:pPr>
      <w:r w:rsidRPr="00215B57">
        <w:rPr>
          <w:rFonts w:ascii="Times New Roman" w:hAnsi="Times New Roman"/>
          <w:sz w:val="24"/>
          <w:szCs w:val="24"/>
        </w:rPr>
        <w:tab/>
      </w:r>
      <w:r w:rsidR="004D1161" w:rsidRPr="00215B57">
        <w:rPr>
          <w:rFonts w:ascii="Times New Roman" w:hAnsi="Times New Roman"/>
          <w:sz w:val="24"/>
          <w:szCs w:val="24"/>
        </w:rPr>
        <w:t xml:space="preserve">The second reason to disapprove any costs above $9.0 billion is that </w:t>
      </w:r>
      <w:r w:rsidR="007C34C1" w:rsidRPr="00215B57">
        <w:rPr>
          <w:rFonts w:ascii="Times New Roman" w:hAnsi="Times New Roman"/>
          <w:sz w:val="24"/>
          <w:szCs w:val="24"/>
        </w:rPr>
        <w:t xml:space="preserve">a portion of the Company’s proposed increase in costs resulted from the mismanagement of the Project, and as such would be unreasonable to recover from ratepayers.  After removing these unreasonable costs from the Company’s proposed revisions, the total cost recoverable from ratepayers is $9.0 billion. </w:t>
      </w:r>
      <w:r w:rsidR="004D1161" w:rsidRPr="00215B57">
        <w:rPr>
          <w:rFonts w:ascii="Times New Roman" w:hAnsi="Times New Roman"/>
          <w:sz w:val="24"/>
          <w:szCs w:val="24"/>
        </w:rPr>
        <w:t>Georgia Power</w:t>
      </w:r>
      <w:r w:rsidR="0061066D" w:rsidRPr="00215B57">
        <w:rPr>
          <w:rFonts w:ascii="Times New Roman" w:hAnsi="Times New Roman"/>
          <w:sz w:val="24"/>
          <w:szCs w:val="24"/>
        </w:rPr>
        <w:t xml:space="preserve"> has the burden to show that costs over the certified amount</w:t>
      </w:r>
      <w:r w:rsidR="004D1161" w:rsidRPr="00215B57">
        <w:rPr>
          <w:rFonts w:ascii="Times New Roman" w:hAnsi="Times New Roman"/>
          <w:sz w:val="24"/>
          <w:szCs w:val="24"/>
        </w:rPr>
        <w:t xml:space="preserve"> are reasonable</w:t>
      </w:r>
      <w:r w:rsidR="0061066D" w:rsidRPr="00215B57">
        <w:rPr>
          <w:rFonts w:ascii="Times New Roman" w:hAnsi="Times New Roman"/>
          <w:sz w:val="24"/>
          <w:szCs w:val="24"/>
        </w:rPr>
        <w:t>.</w:t>
      </w:r>
      <w:r w:rsidR="004D1161" w:rsidRPr="00215B57">
        <w:rPr>
          <w:rFonts w:ascii="Times New Roman" w:hAnsi="Times New Roman"/>
          <w:sz w:val="24"/>
          <w:szCs w:val="24"/>
        </w:rPr>
        <w:t xml:space="preserve"> </w:t>
      </w:r>
    </w:p>
    <w:p w:rsidR="00215B57" w:rsidRPr="00215B57" w:rsidRDefault="00215B57" w:rsidP="00BF13D7">
      <w:pPr>
        <w:spacing w:line="240" w:lineRule="auto"/>
        <w:contextualSpacing/>
        <w:jc w:val="both"/>
        <w:rPr>
          <w:rFonts w:ascii="Times New Roman" w:hAnsi="Times New Roman"/>
          <w:sz w:val="24"/>
          <w:szCs w:val="24"/>
        </w:rPr>
      </w:pPr>
    </w:p>
    <w:p w:rsidR="00CA65E0" w:rsidRDefault="004D1161" w:rsidP="00BF13D7">
      <w:pPr>
        <w:spacing w:line="240" w:lineRule="auto"/>
        <w:ind w:firstLine="720"/>
        <w:contextualSpacing/>
        <w:jc w:val="both"/>
        <w:rPr>
          <w:rFonts w:ascii="Times New Roman" w:hAnsi="Times New Roman"/>
          <w:sz w:val="24"/>
          <w:szCs w:val="24"/>
        </w:rPr>
      </w:pPr>
      <w:r w:rsidRPr="00215B57">
        <w:rPr>
          <w:rFonts w:ascii="Times New Roman" w:hAnsi="Times New Roman"/>
          <w:sz w:val="24"/>
          <w:szCs w:val="24"/>
        </w:rPr>
        <w:t>Basic fairness dictates that ratepayers should not have to pay for those excessive costs</w:t>
      </w:r>
      <w:r w:rsidR="00B54B4D" w:rsidRPr="00215B57">
        <w:rPr>
          <w:rFonts w:ascii="Times New Roman" w:hAnsi="Times New Roman"/>
          <w:sz w:val="24"/>
          <w:szCs w:val="24"/>
        </w:rPr>
        <w:t xml:space="preserve"> </w:t>
      </w:r>
      <w:r w:rsidRPr="00215B57">
        <w:rPr>
          <w:rFonts w:ascii="Times New Roman" w:hAnsi="Times New Roman"/>
          <w:sz w:val="24"/>
          <w:szCs w:val="24"/>
        </w:rPr>
        <w:t xml:space="preserve">of the Project over which the Company had some level of control.  </w:t>
      </w:r>
      <w:r w:rsidR="00546EEB" w:rsidRPr="00215B57">
        <w:rPr>
          <w:rFonts w:ascii="Times New Roman" w:hAnsi="Times New Roman"/>
          <w:sz w:val="24"/>
          <w:szCs w:val="24"/>
        </w:rPr>
        <w:t xml:space="preserve">The </w:t>
      </w:r>
      <w:r w:rsidRPr="00215B57">
        <w:rPr>
          <w:rFonts w:ascii="Times New Roman" w:hAnsi="Times New Roman"/>
          <w:sz w:val="24"/>
          <w:szCs w:val="24"/>
        </w:rPr>
        <w:t xml:space="preserve">Georgia </w:t>
      </w:r>
      <w:r w:rsidR="00546EEB" w:rsidRPr="00215B57">
        <w:rPr>
          <w:rFonts w:ascii="Times New Roman" w:hAnsi="Times New Roman"/>
          <w:sz w:val="24"/>
          <w:szCs w:val="24"/>
        </w:rPr>
        <w:t>Court of Appeals upheld this Commission’s position that ratepayers should not be held responsible</w:t>
      </w:r>
      <w:r w:rsidR="001822B6" w:rsidRPr="00215B57">
        <w:rPr>
          <w:rFonts w:ascii="Times New Roman" w:hAnsi="Times New Roman"/>
          <w:sz w:val="24"/>
          <w:szCs w:val="24"/>
        </w:rPr>
        <w:t xml:space="preserve"> for costs that were more within the control of the Company than the ratepayers.</w:t>
      </w:r>
      <w:r w:rsidR="006A0C7B" w:rsidRPr="00215B57">
        <w:rPr>
          <w:rFonts w:ascii="Times New Roman" w:hAnsi="Times New Roman"/>
          <w:sz w:val="24"/>
          <w:szCs w:val="24"/>
        </w:rPr>
        <w:tab/>
        <w:t>There is a common sense and legal distinction between increas</w:t>
      </w:r>
      <w:r w:rsidRPr="00215B57">
        <w:rPr>
          <w:rFonts w:ascii="Times New Roman" w:hAnsi="Times New Roman"/>
          <w:sz w:val="24"/>
          <w:szCs w:val="24"/>
        </w:rPr>
        <w:t>e</w:t>
      </w:r>
      <w:r w:rsidR="00CA65E0" w:rsidRPr="00215B57">
        <w:rPr>
          <w:rFonts w:ascii="Times New Roman" w:hAnsi="Times New Roman"/>
          <w:sz w:val="24"/>
          <w:szCs w:val="24"/>
        </w:rPr>
        <w:t>s</w:t>
      </w:r>
      <w:r w:rsidRPr="00215B57">
        <w:rPr>
          <w:rFonts w:ascii="Times New Roman" w:hAnsi="Times New Roman"/>
          <w:sz w:val="24"/>
          <w:szCs w:val="24"/>
        </w:rPr>
        <w:t xml:space="preserve"> in </w:t>
      </w:r>
      <w:r w:rsidR="00963E29">
        <w:rPr>
          <w:rFonts w:ascii="Times New Roman" w:hAnsi="Times New Roman"/>
          <w:sz w:val="24"/>
          <w:szCs w:val="24"/>
        </w:rPr>
        <w:t>Project</w:t>
      </w:r>
      <w:r w:rsidRPr="00215B57">
        <w:rPr>
          <w:rFonts w:ascii="Times New Roman" w:hAnsi="Times New Roman"/>
          <w:sz w:val="24"/>
          <w:szCs w:val="24"/>
        </w:rPr>
        <w:t xml:space="preserve"> costs that result</w:t>
      </w:r>
      <w:r w:rsidR="006A0C7B" w:rsidRPr="00215B57">
        <w:rPr>
          <w:rFonts w:ascii="Times New Roman" w:hAnsi="Times New Roman"/>
          <w:sz w:val="24"/>
          <w:szCs w:val="24"/>
        </w:rPr>
        <w:t xml:space="preserve"> from something outside the Company’s control, such as interest rates, and </w:t>
      </w:r>
      <w:r w:rsidR="00CA65E0" w:rsidRPr="00215B57">
        <w:rPr>
          <w:rFonts w:ascii="Times New Roman" w:hAnsi="Times New Roman"/>
          <w:sz w:val="24"/>
          <w:szCs w:val="24"/>
        </w:rPr>
        <w:t xml:space="preserve">something </w:t>
      </w:r>
      <w:r w:rsidR="006A0C7B" w:rsidRPr="00215B57">
        <w:rPr>
          <w:rFonts w:ascii="Times New Roman" w:hAnsi="Times New Roman"/>
          <w:sz w:val="24"/>
          <w:szCs w:val="24"/>
        </w:rPr>
        <w:t xml:space="preserve">within the Company’s control such as mismanagement of the </w:t>
      </w:r>
      <w:r w:rsidR="00963E29">
        <w:rPr>
          <w:rFonts w:ascii="Times New Roman" w:hAnsi="Times New Roman"/>
          <w:sz w:val="24"/>
          <w:szCs w:val="24"/>
        </w:rPr>
        <w:t>Project</w:t>
      </w:r>
      <w:r w:rsidR="006A0C7B" w:rsidRPr="00215B57">
        <w:rPr>
          <w:rFonts w:ascii="Times New Roman" w:hAnsi="Times New Roman"/>
          <w:sz w:val="24"/>
          <w:szCs w:val="24"/>
        </w:rPr>
        <w:t>.</w:t>
      </w:r>
      <w:r w:rsidRPr="00215B57">
        <w:rPr>
          <w:rFonts w:ascii="Times New Roman" w:hAnsi="Times New Roman"/>
          <w:sz w:val="24"/>
          <w:szCs w:val="24"/>
        </w:rPr>
        <w:t xml:space="preserve"> </w:t>
      </w:r>
      <w:r w:rsidR="00CA65E0" w:rsidRPr="00215B57">
        <w:rPr>
          <w:rFonts w:ascii="Times New Roman" w:hAnsi="Times New Roman"/>
          <w:sz w:val="24"/>
          <w:szCs w:val="24"/>
        </w:rPr>
        <w:t xml:space="preserve">Not only has this Commission and the Georgia Court of Appeals recognized that the Company should bear those costs that are </w:t>
      </w:r>
      <w:r w:rsidR="00FA2049">
        <w:rPr>
          <w:rFonts w:ascii="Times New Roman" w:hAnsi="Times New Roman"/>
          <w:sz w:val="24"/>
          <w:szCs w:val="24"/>
        </w:rPr>
        <w:t xml:space="preserve">more </w:t>
      </w:r>
      <w:r w:rsidR="00CA65E0" w:rsidRPr="00215B57">
        <w:rPr>
          <w:rFonts w:ascii="Times New Roman" w:hAnsi="Times New Roman"/>
          <w:sz w:val="24"/>
          <w:szCs w:val="24"/>
        </w:rPr>
        <w:t>within its control, but excluding from cost recovery excessive costs that were</w:t>
      </w:r>
      <w:r w:rsidR="00FA2049">
        <w:rPr>
          <w:rFonts w:ascii="Times New Roman" w:hAnsi="Times New Roman"/>
          <w:sz w:val="24"/>
          <w:szCs w:val="24"/>
        </w:rPr>
        <w:t xml:space="preserve"> more</w:t>
      </w:r>
      <w:r w:rsidR="00CA65E0" w:rsidRPr="00215B57">
        <w:rPr>
          <w:rFonts w:ascii="Times New Roman" w:hAnsi="Times New Roman"/>
          <w:sz w:val="24"/>
          <w:szCs w:val="24"/>
        </w:rPr>
        <w:t xml:space="preserve"> within the Company’s control is a necessary ratepayer protection to ensure that rates remain just and reasonable.</w:t>
      </w:r>
    </w:p>
    <w:p w:rsidR="00215B57" w:rsidRPr="00215B57" w:rsidRDefault="00215B57" w:rsidP="00BF13D7">
      <w:pPr>
        <w:spacing w:line="240" w:lineRule="auto"/>
        <w:ind w:firstLine="720"/>
        <w:contextualSpacing/>
        <w:jc w:val="both"/>
        <w:rPr>
          <w:rFonts w:ascii="Times New Roman" w:hAnsi="Times New Roman"/>
          <w:sz w:val="24"/>
          <w:szCs w:val="24"/>
        </w:rPr>
      </w:pPr>
    </w:p>
    <w:p w:rsidR="00E073E8" w:rsidRDefault="00DB5501" w:rsidP="00BF13D7">
      <w:pPr>
        <w:spacing w:line="240" w:lineRule="auto"/>
        <w:contextualSpacing/>
        <w:jc w:val="both"/>
        <w:rPr>
          <w:rFonts w:ascii="Times New Roman" w:hAnsi="Times New Roman"/>
          <w:sz w:val="24"/>
          <w:szCs w:val="24"/>
        </w:rPr>
      </w:pPr>
      <w:r w:rsidRPr="00215B57">
        <w:rPr>
          <w:rFonts w:ascii="Times New Roman" w:hAnsi="Times New Roman"/>
          <w:sz w:val="24"/>
          <w:szCs w:val="24"/>
        </w:rPr>
        <w:tab/>
        <w:t xml:space="preserve">Certain costs for which the Company is seeking recovery from ratepayers resulted from </w:t>
      </w:r>
      <w:r w:rsidR="00963E29">
        <w:rPr>
          <w:rFonts w:ascii="Times New Roman" w:hAnsi="Times New Roman"/>
          <w:sz w:val="24"/>
          <w:szCs w:val="24"/>
        </w:rPr>
        <w:t>Project</w:t>
      </w:r>
      <w:r w:rsidRPr="00215B57">
        <w:rPr>
          <w:rFonts w:ascii="Times New Roman" w:hAnsi="Times New Roman"/>
          <w:sz w:val="24"/>
          <w:szCs w:val="24"/>
        </w:rPr>
        <w:t xml:space="preserve"> mismanagement.</w:t>
      </w:r>
      <w:r w:rsidR="00CA65E0" w:rsidRPr="00215B57">
        <w:rPr>
          <w:rFonts w:ascii="Times New Roman" w:hAnsi="Times New Roman"/>
          <w:sz w:val="24"/>
          <w:szCs w:val="24"/>
        </w:rPr>
        <w:t xml:space="preserve">  </w:t>
      </w:r>
      <w:r w:rsidR="0093259A" w:rsidRPr="00215B57">
        <w:rPr>
          <w:rFonts w:ascii="Times New Roman" w:hAnsi="Times New Roman"/>
          <w:sz w:val="24"/>
          <w:szCs w:val="24"/>
        </w:rPr>
        <w:t>PIAS</w:t>
      </w:r>
      <w:r w:rsidRPr="00215B57">
        <w:rPr>
          <w:rFonts w:ascii="Times New Roman" w:hAnsi="Times New Roman"/>
          <w:sz w:val="24"/>
          <w:szCs w:val="24"/>
        </w:rPr>
        <w:t xml:space="preserve"> identified these costs in its testimony.</w:t>
      </w:r>
      <w:r w:rsidR="00CA65E0" w:rsidRPr="00215B57">
        <w:rPr>
          <w:rFonts w:ascii="Times New Roman" w:hAnsi="Times New Roman"/>
          <w:sz w:val="24"/>
          <w:szCs w:val="24"/>
        </w:rPr>
        <w:t xml:space="preserve"> </w:t>
      </w:r>
      <w:r w:rsidR="00024D8F" w:rsidRPr="00215B57">
        <w:rPr>
          <w:rFonts w:ascii="Times New Roman" w:hAnsi="Times New Roman"/>
          <w:sz w:val="24"/>
          <w:szCs w:val="24"/>
        </w:rPr>
        <w:t xml:space="preserve">Key to understanding the analysis of whether ratepayers should have </w:t>
      </w:r>
      <w:r w:rsidR="00CA65E0" w:rsidRPr="00215B57">
        <w:rPr>
          <w:rFonts w:ascii="Times New Roman" w:hAnsi="Times New Roman"/>
          <w:sz w:val="24"/>
          <w:szCs w:val="24"/>
        </w:rPr>
        <w:t xml:space="preserve">to bear these costs is recognition that the </w:t>
      </w:r>
      <w:r w:rsidR="00024D8F" w:rsidRPr="00215B57">
        <w:rPr>
          <w:rFonts w:ascii="Times New Roman" w:hAnsi="Times New Roman"/>
          <w:sz w:val="24"/>
          <w:szCs w:val="24"/>
        </w:rPr>
        <w:t xml:space="preserve">question of </w:t>
      </w:r>
      <w:r w:rsidR="00CA65E0" w:rsidRPr="00215B57">
        <w:rPr>
          <w:rFonts w:ascii="Times New Roman" w:hAnsi="Times New Roman"/>
          <w:sz w:val="24"/>
          <w:szCs w:val="24"/>
        </w:rPr>
        <w:t xml:space="preserve">cost recovery is not limited to </w:t>
      </w:r>
      <w:r w:rsidR="00024D8F" w:rsidRPr="00215B57">
        <w:rPr>
          <w:rFonts w:ascii="Times New Roman" w:hAnsi="Times New Roman"/>
          <w:sz w:val="24"/>
          <w:szCs w:val="24"/>
        </w:rPr>
        <w:t>whether it was reasonable for the Company to take the action under the circumstances.</w:t>
      </w:r>
      <w:r w:rsidR="00CA65E0" w:rsidRPr="00215B57">
        <w:rPr>
          <w:rFonts w:ascii="Times New Roman" w:hAnsi="Times New Roman"/>
          <w:sz w:val="24"/>
          <w:szCs w:val="24"/>
        </w:rPr>
        <w:t xml:space="preserve">  </w:t>
      </w:r>
      <w:r w:rsidR="00024D8F" w:rsidRPr="00215B57">
        <w:rPr>
          <w:rFonts w:ascii="Times New Roman" w:hAnsi="Times New Roman"/>
          <w:sz w:val="24"/>
          <w:szCs w:val="24"/>
        </w:rPr>
        <w:t>Instead, it is necessary to consider whether mismanagement of the process was responsible for placing the Company in the position where it had to incur the expense.</w:t>
      </w:r>
      <w:r w:rsidR="00CA65E0" w:rsidRPr="00215B57">
        <w:rPr>
          <w:rFonts w:ascii="Times New Roman" w:hAnsi="Times New Roman"/>
          <w:sz w:val="24"/>
          <w:szCs w:val="24"/>
        </w:rPr>
        <w:t xml:space="preserve"> </w:t>
      </w:r>
      <w:r w:rsidRPr="00215B57">
        <w:rPr>
          <w:rFonts w:ascii="Times New Roman" w:hAnsi="Times New Roman"/>
          <w:sz w:val="24"/>
          <w:szCs w:val="24"/>
        </w:rPr>
        <w:t xml:space="preserve">The Company has acknowledged </w:t>
      </w:r>
      <w:r w:rsidR="00024D8F" w:rsidRPr="00215B57">
        <w:rPr>
          <w:rFonts w:ascii="Times New Roman" w:hAnsi="Times New Roman"/>
          <w:sz w:val="24"/>
          <w:szCs w:val="24"/>
        </w:rPr>
        <w:t>that Westinghouse mismanaged the</w:t>
      </w:r>
      <w:r w:rsidRPr="00215B57">
        <w:rPr>
          <w:rFonts w:ascii="Times New Roman" w:hAnsi="Times New Roman"/>
          <w:sz w:val="24"/>
          <w:szCs w:val="24"/>
        </w:rPr>
        <w:t xml:space="preserve"> </w:t>
      </w:r>
      <w:r w:rsidR="00963E29">
        <w:rPr>
          <w:rFonts w:ascii="Times New Roman" w:hAnsi="Times New Roman"/>
          <w:sz w:val="24"/>
          <w:szCs w:val="24"/>
        </w:rPr>
        <w:t>Project</w:t>
      </w:r>
      <w:r w:rsidRPr="00215B57">
        <w:rPr>
          <w:rFonts w:ascii="Times New Roman" w:hAnsi="Times New Roman"/>
          <w:sz w:val="24"/>
          <w:szCs w:val="24"/>
        </w:rPr>
        <w:t>.</w:t>
      </w:r>
      <w:r w:rsidR="00CA65E0" w:rsidRPr="00215B57">
        <w:rPr>
          <w:rFonts w:ascii="Times New Roman" w:hAnsi="Times New Roman"/>
          <w:sz w:val="24"/>
          <w:szCs w:val="24"/>
        </w:rPr>
        <w:t xml:space="preserve">  Under the specific record of this case as well as a more general matter of principle, the Company bears responsibility for the failures of its subcontractor. </w:t>
      </w:r>
    </w:p>
    <w:p w:rsidR="00215B57" w:rsidRPr="00215B57" w:rsidRDefault="00215B57" w:rsidP="00BF13D7">
      <w:pPr>
        <w:spacing w:line="240" w:lineRule="auto"/>
        <w:contextualSpacing/>
        <w:jc w:val="both"/>
        <w:rPr>
          <w:rFonts w:ascii="Times New Roman" w:hAnsi="Times New Roman"/>
          <w:sz w:val="24"/>
          <w:szCs w:val="24"/>
        </w:rPr>
      </w:pPr>
    </w:p>
    <w:p w:rsidR="00F40D3D" w:rsidRDefault="00920CB0" w:rsidP="00BF13D7">
      <w:pPr>
        <w:spacing w:line="240" w:lineRule="auto"/>
        <w:ind w:firstLine="720"/>
        <w:contextualSpacing/>
        <w:jc w:val="both"/>
        <w:rPr>
          <w:rFonts w:ascii="Times New Roman" w:hAnsi="Times New Roman"/>
          <w:sz w:val="24"/>
          <w:szCs w:val="24"/>
        </w:rPr>
      </w:pPr>
      <w:r w:rsidRPr="00215B57">
        <w:rPr>
          <w:rFonts w:ascii="Times New Roman" w:hAnsi="Times New Roman"/>
          <w:sz w:val="24"/>
          <w:szCs w:val="24"/>
        </w:rPr>
        <w:t xml:space="preserve">The Company </w:t>
      </w:r>
      <w:r w:rsidR="00723F03" w:rsidRPr="00215B57">
        <w:rPr>
          <w:rFonts w:ascii="Times New Roman" w:hAnsi="Times New Roman"/>
          <w:sz w:val="24"/>
          <w:szCs w:val="24"/>
        </w:rPr>
        <w:t>failed to do what it represented to the Commission during the certification proce</w:t>
      </w:r>
      <w:r w:rsidR="00963E29">
        <w:rPr>
          <w:rFonts w:ascii="Times New Roman" w:hAnsi="Times New Roman"/>
          <w:sz w:val="24"/>
          <w:szCs w:val="24"/>
        </w:rPr>
        <w:t xml:space="preserve">eding </w:t>
      </w:r>
      <w:r w:rsidR="00723F03" w:rsidRPr="00215B57">
        <w:rPr>
          <w:rFonts w:ascii="Times New Roman" w:hAnsi="Times New Roman"/>
          <w:sz w:val="24"/>
          <w:szCs w:val="24"/>
        </w:rPr>
        <w:t>that it would do.</w:t>
      </w:r>
      <w:r w:rsidR="00E073E8" w:rsidRPr="00215B57">
        <w:rPr>
          <w:rFonts w:ascii="Times New Roman" w:hAnsi="Times New Roman"/>
          <w:sz w:val="24"/>
          <w:szCs w:val="24"/>
        </w:rPr>
        <w:t xml:space="preserve"> </w:t>
      </w:r>
      <w:r w:rsidR="00723F03" w:rsidRPr="00215B57">
        <w:rPr>
          <w:rFonts w:ascii="Times New Roman" w:hAnsi="Times New Roman"/>
          <w:sz w:val="24"/>
          <w:szCs w:val="24"/>
        </w:rPr>
        <w:t>The Company said that it would be an “active manager” that would</w:t>
      </w:r>
      <w:r w:rsidR="00FA2049">
        <w:rPr>
          <w:rFonts w:ascii="Times New Roman" w:hAnsi="Times New Roman"/>
          <w:sz w:val="24"/>
          <w:szCs w:val="24"/>
        </w:rPr>
        <w:t xml:space="preserve"> make sure that the schedule was appropriate and would</w:t>
      </w:r>
      <w:r w:rsidR="00723F03" w:rsidRPr="00215B57">
        <w:rPr>
          <w:rFonts w:ascii="Times New Roman" w:hAnsi="Times New Roman"/>
          <w:sz w:val="24"/>
          <w:szCs w:val="24"/>
        </w:rPr>
        <w:t xml:space="preserve"> hold its contractor accountable for the schedule.</w:t>
      </w:r>
      <w:r w:rsidR="00E073E8" w:rsidRPr="00215B57">
        <w:rPr>
          <w:rFonts w:ascii="Times New Roman" w:hAnsi="Times New Roman"/>
          <w:sz w:val="24"/>
          <w:szCs w:val="24"/>
        </w:rPr>
        <w:t xml:space="preserve"> </w:t>
      </w:r>
      <w:r w:rsidR="00723F03" w:rsidRPr="00215B57">
        <w:rPr>
          <w:rFonts w:ascii="Times New Roman" w:hAnsi="Times New Roman"/>
          <w:sz w:val="24"/>
          <w:szCs w:val="24"/>
        </w:rPr>
        <w:t>Regardless of any limitations in the</w:t>
      </w:r>
      <w:r w:rsidR="007028CE" w:rsidRPr="007028CE">
        <w:rPr>
          <w:rFonts w:ascii="Times New Roman" w:hAnsi="Times New Roman"/>
          <w:sz w:val="24"/>
          <w:szCs w:val="24"/>
        </w:rPr>
        <w:t xml:space="preserve"> </w:t>
      </w:r>
      <w:r w:rsidR="007028CE" w:rsidRPr="0094499E">
        <w:rPr>
          <w:rFonts w:ascii="Times New Roman" w:hAnsi="Times New Roman"/>
          <w:sz w:val="24"/>
          <w:szCs w:val="24"/>
        </w:rPr>
        <w:t>Engineering, Procurement and Construction (“EPC”) Agreement</w:t>
      </w:r>
      <w:r w:rsidR="00723F03" w:rsidRPr="00215B57">
        <w:rPr>
          <w:rFonts w:ascii="Times New Roman" w:hAnsi="Times New Roman"/>
          <w:sz w:val="24"/>
          <w:szCs w:val="24"/>
        </w:rPr>
        <w:t xml:space="preserve">, the Company should be held responsible by this Commission for the representations that it made.  </w:t>
      </w:r>
      <w:r w:rsidR="00E073E8" w:rsidRPr="00215B57">
        <w:rPr>
          <w:rFonts w:ascii="Times New Roman" w:hAnsi="Times New Roman"/>
          <w:sz w:val="24"/>
          <w:szCs w:val="24"/>
        </w:rPr>
        <w:t>Put another way, it</w:t>
      </w:r>
      <w:r w:rsidR="00723F03" w:rsidRPr="00215B57">
        <w:rPr>
          <w:rFonts w:ascii="Times New Roman" w:hAnsi="Times New Roman"/>
          <w:sz w:val="24"/>
          <w:szCs w:val="24"/>
        </w:rPr>
        <w:t xml:space="preserve"> would not be fair to ratepayers, to not hold the Company accountable.</w:t>
      </w:r>
      <w:r w:rsidR="00E073E8" w:rsidRPr="00215B57">
        <w:rPr>
          <w:rFonts w:ascii="Times New Roman" w:hAnsi="Times New Roman"/>
          <w:sz w:val="24"/>
          <w:szCs w:val="24"/>
        </w:rPr>
        <w:t xml:space="preserve"> </w:t>
      </w:r>
      <w:r w:rsidR="00723F03" w:rsidRPr="00215B57">
        <w:rPr>
          <w:rFonts w:ascii="Times New Roman" w:hAnsi="Times New Roman"/>
          <w:sz w:val="24"/>
          <w:szCs w:val="24"/>
        </w:rPr>
        <w:t xml:space="preserve">Throughout the monitoring proceedings, the Company consistently informed the Commission that the </w:t>
      </w:r>
      <w:r w:rsidR="00963E29">
        <w:rPr>
          <w:rFonts w:ascii="Times New Roman" w:hAnsi="Times New Roman"/>
          <w:sz w:val="24"/>
          <w:szCs w:val="24"/>
        </w:rPr>
        <w:t>Project</w:t>
      </w:r>
      <w:r w:rsidR="00723F03" w:rsidRPr="00215B57">
        <w:rPr>
          <w:rFonts w:ascii="Times New Roman" w:hAnsi="Times New Roman"/>
          <w:sz w:val="24"/>
          <w:szCs w:val="24"/>
        </w:rPr>
        <w:t xml:space="preserve"> was on schedule and would be completed within whatever deadline was in place.</w:t>
      </w:r>
      <w:r w:rsidR="00E073E8" w:rsidRPr="00215B57">
        <w:rPr>
          <w:rFonts w:ascii="Times New Roman" w:hAnsi="Times New Roman"/>
          <w:sz w:val="24"/>
          <w:szCs w:val="24"/>
        </w:rPr>
        <w:t xml:space="preserve"> These </w:t>
      </w:r>
      <w:r w:rsidR="00963E29">
        <w:rPr>
          <w:rFonts w:ascii="Times New Roman" w:hAnsi="Times New Roman"/>
          <w:sz w:val="24"/>
          <w:szCs w:val="24"/>
        </w:rPr>
        <w:t>project</w:t>
      </w:r>
      <w:r w:rsidR="00E073E8" w:rsidRPr="00215B57">
        <w:rPr>
          <w:rFonts w:ascii="Times New Roman" w:hAnsi="Times New Roman"/>
          <w:sz w:val="24"/>
          <w:szCs w:val="24"/>
        </w:rPr>
        <w:t>ions were consistently wrong.  T</w:t>
      </w:r>
      <w:r w:rsidR="00723F03" w:rsidRPr="00215B57">
        <w:rPr>
          <w:rFonts w:ascii="Times New Roman" w:hAnsi="Times New Roman"/>
          <w:sz w:val="24"/>
          <w:szCs w:val="24"/>
        </w:rPr>
        <w:t>his is not</w:t>
      </w:r>
      <w:r w:rsidR="00E073E8" w:rsidRPr="00215B57">
        <w:rPr>
          <w:rFonts w:ascii="Times New Roman" w:hAnsi="Times New Roman"/>
          <w:sz w:val="24"/>
          <w:szCs w:val="24"/>
        </w:rPr>
        <w:t xml:space="preserve"> merely</w:t>
      </w:r>
      <w:r w:rsidR="00723F03" w:rsidRPr="00215B57">
        <w:rPr>
          <w:rFonts w:ascii="Times New Roman" w:hAnsi="Times New Roman"/>
          <w:sz w:val="24"/>
          <w:szCs w:val="24"/>
        </w:rPr>
        <w:t xml:space="preserve"> an academic issue.  There are practical ways in which ratepayers were hurt as a result of the Company’s errors.</w:t>
      </w:r>
      <w:r w:rsidR="00E073E8" w:rsidRPr="00215B57">
        <w:rPr>
          <w:rFonts w:ascii="Times New Roman" w:hAnsi="Times New Roman"/>
          <w:sz w:val="24"/>
          <w:szCs w:val="24"/>
        </w:rPr>
        <w:t xml:space="preserve"> Had the Commission been more accurately informed by the Company as to the depth of the problems facing the Project, th</w:t>
      </w:r>
      <w:r w:rsidR="00723F03" w:rsidRPr="00215B57">
        <w:rPr>
          <w:rFonts w:ascii="Times New Roman" w:hAnsi="Times New Roman"/>
          <w:sz w:val="24"/>
          <w:szCs w:val="24"/>
        </w:rPr>
        <w:t xml:space="preserve">e Commission </w:t>
      </w:r>
      <w:r w:rsidR="00963E29">
        <w:rPr>
          <w:rFonts w:ascii="Times New Roman" w:hAnsi="Times New Roman"/>
          <w:sz w:val="24"/>
          <w:szCs w:val="24"/>
        </w:rPr>
        <w:t>would have had the opportunity to assess the project status and make</w:t>
      </w:r>
      <w:r w:rsidR="00723F03" w:rsidRPr="00215B57">
        <w:rPr>
          <w:rFonts w:ascii="Times New Roman" w:hAnsi="Times New Roman"/>
          <w:sz w:val="24"/>
          <w:szCs w:val="24"/>
        </w:rPr>
        <w:t xml:space="preserve"> different decisions</w:t>
      </w:r>
      <w:r w:rsidR="00E073E8" w:rsidRPr="00215B57">
        <w:rPr>
          <w:rFonts w:ascii="Times New Roman" w:hAnsi="Times New Roman"/>
          <w:sz w:val="24"/>
          <w:szCs w:val="24"/>
        </w:rPr>
        <w:t xml:space="preserve"> earlier on in the construction,</w:t>
      </w:r>
      <w:r w:rsidR="00723F03" w:rsidRPr="00215B57">
        <w:rPr>
          <w:rFonts w:ascii="Times New Roman" w:hAnsi="Times New Roman"/>
          <w:sz w:val="24"/>
          <w:szCs w:val="24"/>
        </w:rPr>
        <w:t xml:space="preserve"> </w:t>
      </w:r>
      <w:r w:rsidR="00F40D3D" w:rsidRPr="00215B57">
        <w:rPr>
          <w:rFonts w:ascii="Times New Roman" w:hAnsi="Times New Roman"/>
          <w:sz w:val="24"/>
          <w:szCs w:val="24"/>
        </w:rPr>
        <w:t xml:space="preserve">when </w:t>
      </w:r>
      <w:r w:rsidR="00E073E8" w:rsidRPr="00215B57">
        <w:rPr>
          <w:rFonts w:ascii="Times New Roman" w:hAnsi="Times New Roman"/>
          <w:sz w:val="24"/>
          <w:szCs w:val="24"/>
        </w:rPr>
        <w:t>sunk costs were not so daunting an issue. In addition, t</w:t>
      </w:r>
      <w:r w:rsidR="00F40D3D" w:rsidRPr="00215B57">
        <w:rPr>
          <w:rFonts w:ascii="Times New Roman" w:hAnsi="Times New Roman"/>
          <w:sz w:val="24"/>
          <w:szCs w:val="24"/>
        </w:rPr>
        <w:t xml:space="preserve">he Company’s failure to recognize </w:t>
      </w:r>
      <w:r w:rsidR="00963E29">
        <w:rPr>
          <w:rFonts w:ascii="Times New Roman" w:hAnsi="Times New Roman"/>
          <w:sz w:val="24"/>
          <w:szCs w:val="24"/>
        </w:rPr>
        <w:t xml:space="preserve">and </w:t>
      </w:r>
      <w:r w:rsidR="00F40D3D" w:rsidRPr="00215B57">
        <w:rPr>
          <w:rFonts w:ascii="Times New Roman" w:hAnsi="Times New Roman"/>
          <w:sz w:val="24"/>
          <w:szCs w:val="24"/>
        </w:rPr>
        <w:t>the</w:t>
      </w:r>
      <w:r w:rsidR="00E073E8" w:rsidRPr="00215B57">
        <w:rPr>
          <w:rFonts w:ascii="Times New Roman" w:hAnsi="Times New Roman"/>
          <w:sz w:val="24"/>
          <w:szCs w:val="24"/>
        </w:rPr>
        <w:t xml:space="preserve"> delays is important because</w:t>
      </w:r>
      <w:r w:rsidR="00F40D3D" w:rsidRPr="00215B57">
        <w:rPr>
          <w:rFonts w:ascii="Times New Roman" w:hAnsi="Times New Roman"/>
          <w:sz w:val="24"/>
          <w:szCs w:val="24"/>
        </w:rPr>
        <w:t xml:space="preserve"> steps weren’t taken earlier in the process to better manage the </w:t>
      </w:r>
      <w:r w:rsidR="00963E29">
        <w:rPr>
          <w:rFonts w:ascii="Times New Roman" w:hAnsi="Times New Roman"/>
          <w:sz w:val="24"/>
          <w:szCs w:val="24"/>
        </w:rPr>
        <w:t>Project</w:t>
      </w:r>
      <w:r w:rsidR="00F40D3D" w:rsidRPr="00215B57">
        <w:rPr>
          <w:rFonts w:ascii="Times New Roman" w:hAnsi="Times New Roman"/>
          <w:sz w:val="24"/>
          <w:szCs w:val="24"/>
        </w:rPr>
        <w:t>.</w:t>
      </w:r>
      <w:r w:rsidR="00E073E8" w:rsidRPr="00215B57">
        <w:rPr>
          <w:rFonts w:ascii="Times New Roman" w:hAnsi="Times New Roman"/>
          <w:sz w:val="24"/>
          <w:szCs w:val="24"/>
        </w:rPr>
        <w:t xml:space="preserve">  Most notably, a fully integrated </w:t>
      </w:r>
      <w:r w:rsidR="00963E29">
        <w:rPr>
          <w:rFonts w:ascii="Times New Roman" w:hAnsi="Times New Roman"/>
          <w:sz w:val="24"/>
          <w:szCs w:val="24"/>
        </w:rPr>
        <w:t>Project</w:t>
      </w:r>
      <w:r w:rsidR="00603496">
        <w:rPr>
          <w:rFonts w:ascii="Times New Roman" w:hAnsi="Times New Roman"/>
          <w:sz w:val="24"/>
          <w:szCs w:val="24"/>
        </w:rPr>
        <w:t xml:space="preserve"> </w:t>
      </w:r>
      <w:r w:rsidR="00E073E8" w:rsidRPr="00215B57">
        <w:rPr>
          <w:rFonts w:ascii="Times New Roman" w:hAnsi="Times New Roman"/>
          <w:sz w:val="24"/>
          <w:szCs w:val="24"/>
        </w:rPr>
        <w:t xml:space="preserve">schedule </w:t>
      </w:r>
      <w:r w:rsidR="00603496">
        <w:rPr>
          <w:rFonts w:ascii="Times New Roman" w:hAnsi="Times New Roman"/>
          <w:sz w:val="24"/>
          <w:szCs w:val="24"/>
        </w:rPr>
        <w:t xml:space="preserve">(“IPS” or “Schedule”) </w:t>
      </w:r>
      <w:r w:rsidR="00E073E8" w:rsidRPr="00215B57">
        <w:rPr>
          <w:rFonts w:ascii="Times New Roman" w:hAnsi="Times New Roman"/>
          <w:sz w:val="24"/>
          <w:szCs w:val="24"/>
        </w:rPr>
        <w:t xml:space="preserve">was not developed </w:t>
      </w:r>
      <w:r w:rsidR="00603496">
        <w:rPr>
          <w:rFonts w:ascii="Times New Roman" w:hAnsi="Times New Roman"/>
          <w:sz w:val="24"/>
          <w:szCs w:val="24"/>
        </w:rPr>
        <w:t xml:space="preserve">with the attributes outlined in the Institute </w:t>
      </w:r>
      <w:r w:rsidR="003B54C2">
        <w:rPr>
          <w:rFonts w:ascii="Times New Roman" w:hAnsi="Times New Roman"/>
          <w:sz w:val="24"/>
          <w:szCs w:val="24"/>
        </w:rPr>
        <w:t xml:space="preserve">for Nuclear Power (“INPO”) principle number four </w:t>
      </w:r>
      <w:r w:rsidR="00EF5C67" w:rsidRPr="00581CAE">
        <w:rPr>
          <w:rFonts w:ascii="Times New Roman" w:hAnsi="Times New Roman"/>
          <w:i/>
          <w:sz w:val="24"/>
          <w:szCs w:val="24"/>
        </w:rPr>
        <w:t>Schedules Are Realistic and Understood</w:t>
      </w:r>
      <w:r w:rsidR="003B54C2">
        <w:rPr>
          <w:rFonts w:ascii="Times New Roman" w:hAnsi="Times New Roman"/>
          <w:sz w:val="24"/>
          <w:szCs w:val="24"/>
        </w:rPr>
        <w:t xml:space="preserve">, </w:t>
      </w:r>
      <w:r w:rsidR="00E073E8" w:rsidRPr="00215B57">
        <w:rPr>
          <w:rFonts w:ascii="Times New Roman" w:hAnsi="Times New Roman"/>
          <w:sz w:val="24"/>
          <w:szCs w:val="24"/>
        </w:rPr>
        <w:t xml:space="preserve">until these proceedings.  Having a proper schedule would not merely </w:t>
      </w:r>
      <w:r w:rsidR="00603496">
        <w:rPr>
          <w:rFonts w:ascii="Times New Roman" w:hAnsi="Times New Roman"/>
          <w:sz w:val="24"/>
          <w:szCs w:val="24"/>
        </w:rPr>
        <w:t xml:space="preserve">have </w:t>
      </w:r>
      <w:r w:rsidR="00E073E8" w:rsidRPr="00215B57">
        <w:rPr>
          <w:rFonts w:ascii="Times New Roman" w:hAnsi="Times New Roman"/>
          <w:sz w:val="24"/>
          <w:szCs w:val="24"/>
        </w:rPr>
        <w:t xml:space="preserve">informed the parties how far behind the Project was slipping, but it would have provided a basis for accountability that </w:t>
      </w:r>
      <w:r w:rsidR="003B54C2">
        <w:rPr>
          <w:rFonts w:ascii="Times New Roman" w:hAnsi="Times New Roman"/>
          <w:sz w:val="24"/>
          <w:szCs w:val="24"/>
        </w:rPr>
        <w:t>should</w:t>
      </w:r>
      <w:r w:rsidR="003B54C2" w:rsidRPr="00215B57">
        <w:rPr>
          <w:rFonts w:ascii="Times New Roman" w:hAnsi="Times New Roman"/>
          <w:sz w:val="24"/>
          <w:szCs w:val="24"/>
        </w:rPr>
        <w:t xml:space="preserve"> </w:t>
      </w:r>
      <w:r w:rsidR="00E073E8" w:rsidRPr="00215B57">
        <w:rPr>
          <w:rFonts w:ascii="Times New Roman" w:hAnsi="Times New Roman"/>
          <w:sz w:val="24"/>
          <w:szCs w:val="24"/>
        </w:rPr>
        <w:t>have improved productivity</w:t>
      </w:r>
      <w:r w:rsidR="003B54C2">
        <w:rPr>
          <w:rFonts w:ascii="Times New Roman" w:hAnsi="Times New Roman"/>
          <w:sz w:val="24"/>
          <w:szCs w:val="24"/>
        </w:rPr>
        <w:t xml:space="preserve"> across all functional areas of the </w:t>
      </w:r>
      <w:r w:rsidR="00963E29">
        <w:rPr>
          <w:rFonts w:ascii="Times New Roman" w:hAnsi="Times New Roman"/>
          <w:sz w:val="24"/>
          <w:szCs w:val="24"/>
        </w:rPr>
        <w:t>Project</w:t>
      </w:r>
      <w:r w:rsidR="00E073E8" w:rsidRPr="00215B57">
        <w:rPr>
          <w:rFonts w:ascii="Times New Roman" w:hAnsi="Times New Roman"/>
          <w:sz w:val="24"/>
          <w:szCs w:val="24"/>
        </w:rPr>
        <w:t xml:space="preserve">.  </w:t>
      </w:r>
      <w:r w:rsidR="00FA2049">
        <w:rPr>
          <w:rFonts w:ascii="Times New Roman" w:hAnsi="Times New Roman"/>
          <w:sz w:val="24"/>
          <w:szCs w:val="24"/>
        </w:rPr>
        <w:t xml:space="preserve">In other words, a good schedule does not simply tell you where you are, it is a vital tool for appropriately managing the </w:t>
      </w:r>
      <w:r w:rsidR="00963E29">
        <w:rPr>
          <w:rFonts w:ascii="Times New Roman" w:hAnsi="Times New Roman"/>
          <w:sz w:val="24"/>
          <w:szCs w:val="24"/>
        </w:rPr>
        <w:t>Project</w:t>
      </w:r>
      <w:r w:rsidR="00FA2049">
        <w:rPr>
          <w:rFonts w:ascii="Times New Roman" w:hAnsi="Times New Roman"/>
          <w:sz w:val="24"/>
          <w:szCs w:val="24"/>
        </w:rPr>
        <w:t xml:space="preserve">. </w:t>
      </w:r>
      <w:r w:rsidR="00E073E8" w:rsidRPr="00215B57">
        <w:rPr>
          <w:rFonts w:ascii="Times New Roman" w:hAnsi="Times New Roman"/>
          <w:sz w:val="24"/>
          <w:szCs w:val="24"/>
        </w:rPr>
        <w:t>On that note, it is a fundamental point of this analysis that the bankruptcy has not caused the delays; but rather, the delays caused the bankruptcy.  The increased productivity since the bankruptcy emphasizes the benefits that having a</w:t>
      </w:r>
      <w:r w:rsidR="00603496">
        <w:rPr>
          <w:rFonts w:ascii="Times New Roman" w:hAnsi="Times New Roman"/>
          <w:sz w:val="24"/>
          <w:szCs w:val="24"/>
        </w:rPr>
        <w:t>n</w:t>
      </w:r>
      <w:r w:rsidR="00E073E8" w:rsidRPr="00215B57">
        <w:rPr>
          <w:rFonts w:ascii="Times New Roman" w:hAnsi="Times New Roman"/>
          <w:sz w:val="24"/>
          <w:szCs w:val="24"/>
        </w:rPr>
        <w:t xml:space="preserve"> </w:t>
      </w:r>
      <w:r w:rsidR="00603496">
        <w:rPr>
          <w:rFonts w:ascii="Times New Roman" w:hAnsi="Times New Roman"/>
          <w:sz w:val="24"/>
          <w:szCs w:val="24"/>
        </w:rPr>
        <w:t>IPS</w:t>
      </w:r>
      <w:r w:rsidR="00B10AFA">
        <w:rPr>
          <w:rFonts w:ascii="Times New Roman" w:hAnsi="Times New Roman"/>
          <w:sz w:val="24"/>
          <w:szCs w:val="24"/>
        </w:rPr>
        <w:t xml:space="preserve"> and a credible ETC</w:t>
      </w:r>
      <w:r w:rsidR="00E073E8" w:rsidRPr="00215B57">
        <w:rPr>
          <w:rFonts w:ascii="Times New Roman" w:hAnsi="Times New Roman"/>
          <w:sz w:val="24"/>
          <w:szCs w:val="24"/>
        </w:rPr>
        <w:t xml:space="preserve"> earlier in the process would have offered.</w:t>
      </w:r>
    </w:p>
    <w:p w:rsidR="00215B57" w:rsidRPr="00215B57" w:rsidRDefault="00215B57" w:rsidP="00BF13D7">
      <w:pPr>
        <w:spacing w:line="240" w:lineRule="auto"/>
        <w:ind w:firstLine="720"/>
        <w:contextualSpacing/>
        <w:jc w:val="both"/>
        <w:rPr>
          <w:rFonts w:ascii="Times New Roman" w:hAnsi="Times New Roman"/>
          <w:sz w:val="24"/>
          <w:szCs w:val="24"/>
        </w:rPr>
      </w:pPr>
    </w:p>
    <w:p w:rsidR="001E2963" w:rsidRDefault="00135A8D" w:rsidP="00BF13D7">
      <w:pPr>
        <w:spacing w:line="240" w:lineRule="auto"/>
        <w:ind w:firstLine="720"/>
        <w:contextualSpacing/>
        <w:jc w:val="both"/>
        <w:rPr>
          <w:rFonts w:ascii="Times New Roman" w:hAnsi="Times New Roman"/>
          <w:sz w:val="24"/>
          <w:szCs w:val="24"/>
        </w:rPr>
      </w:pPr>
      <w:r w:rsidRPr="00215B57">
        <w:rPr>
          <w:rFonts w:ascii="Times New Roman" w:hAnsi="Times New Roman"/>
          <w:sz w:val="24"/>
          <w:szCs w:val="24"/>
        </w:rPr>
        <w:t xml:space="preserve">The Company’s filing also includes a Co-Owner agreement in which Georgia Power voluntarily gave the </w:t>
      </w:r>
      <w:r w:rsidR="003B54C2">
        <w:rPr>
          <w:rFonts w:ascii="Times New Roman" w:hAnsi="Times New Roman"/>
          <w:sz w:val="24"/>
          <w:szCs w:val="24"/>
        </w:rPr>
        <w:t>C</w:t>
      </w:r>
      <w:r w:rsidR="003B54C2" w:rsidRPr="00215B57">
        <w:rPr>
          <w:rFonts w:ascii="Times New Roman" w:hAnsi="Times New Roman"/>
          <w:sz w:val="24"/>
          <w:szCs w:val="24"/>
        </w:rPr>
        <w:t>o</w:t>
      </w:r>
      <w:r w:rsidR="00963E29">
        <w:rPr>
          <w:rFonts w:ascii="Times New Roman" w:hAnsi="Times New Roman"/>
          <w:sz w:val="24"/>
          <w:szCs w:val="24"/>
        </w:rPr>
        <w:t>-O</w:t>
      </w:r>
      <w:r w:rsidRPr="00215B57">
        <w:rPr>
          <w:rFonts w:ascii="Times New Roman" w:hAnsi="Times New Roman"/>
          <w:sz w:val="24"/>
          <w:szCs w:val="24"/>
        </w:rPr>
        <w:t xml:space="preserve">wners a right that prior to the agreement they indisputably did not have:  the right to abandon the Project if any </w:t>
      </w:r>
      <w:r w:rsidR="00E76C68" w:rsidRPr="00215B57">
        <w:rPr>
          <w:rFonts w:ascii="Times New Roman" w:hAnsi="Times New Roman"/>
          <w:sz w:val="24"/>
          <w:szCs w:val="24"/>
        </w:rPr>
        <w:t xml:space="preserve">Company </w:t>
      </w:r>
      <w:r w:rsidRPr="00215B57">
        <w:rPr>
          <w:rFonts w:ascii="Times New Roman" w:hAnsi="Times New Roman"/>
          <w:sz w:val="24"/>
          <w:szCs w:val="24"/>
        </w:rPr>
        <w:t>cost</w:t>
      </w:r>
      <w:r w:rsidR="00E76C68" w:rsidRPr="00215B57">
        <w:rPr>
          <w:rFonts w:ascii="Times New Roman" w:hAnsi="Times New Roman"/>
          <w:sz w:val="24"/>
          <w:szCs w:val="24"/>
        </w:rPr>
        <w:t xml:space="preserve">s are disallowed </w:t>
      </w:r>
      <w:r w:rsidRPr="00215B57">
        <w:rPr>
          <w:rFonts w:ascii="Times New Roman" w:hAnsi="Times New Roman"/>
          <w:sz w:val="24"/>
          <w:szCs w:val="24"/>
        </w:rPr>
        <w:t>for any reason</w:t>
      </w:r>
      <w:r w:rsidR="00E76C68" w:rsidRPr="00215B57">
        <w:rPr>
          <w:rFonts w:ascii="Times New Roman" w:hAnsi="Times New Roman"/>
          <w:sz w:val="24"/>
          <w:szCs w:val="24"/>
        </w:rPr>
        <w:t>, including fraud, failure to disclose a material fact or criminal misconduct</w:t>
      </w:r>
      <w:r w:rsidRPr="00215B57">
        <w:rPr>
          <w:rFonts w:ascii="Times New Roman" w:hAnsi="Times New Roman"/>
          <w:sz w:val="24"/>
          <w:szCs w:val="24"/>
        </w:rPr>
        <w:t xml:space="preserve">.  </w:t>
      </w:r>
      <w:r w:rsidR="00F40D3D" w:rsidRPr="00215B57">
        <w:rPr>
          <w:rFonts w:ascii="Times New Roman" w:hAnsi="Times New Roman"/>
          <w:sz w:val="24"/>
          <w:szCs w:val="24"/>
        </w:rPr>
        <w:t>The</w:t>
      </w:r>
      <w:r w:rsidR="000E22DD" w:rsidRPr="00215B57">
        <w:rPr>
          <w:rFonts w:ascii="Times New Roman" w:hAnsi="Times New Roman"/>
          <w:sz w:val="24"/>
          <w:szCs w:val="24"/>
        </w:rPr>
        <w:t xml:space="preserve"> Commission does not approve the Co-Owner agreement by itself or as part of any </w:t>
      </w:r>
      <w:r w:rsidR="00E76C68" w:rsidRPr="00215B57">
        <w:rPr>
          <w:rFonts w:ascii="Times New Roman" w:hAnsi="Times New Roman"/>
          <w:sz w:val="24"/>
          <w:szCs w:val="24"/>
        </w:rPr>
        <w:t xml:space="preserve">Project </w:t>
      </w:r>
      <w:r w:rsidR="000E22DD" w:rsidRPr="00215B57">
        <w:rPr>
          <w:rFonts w:ascii="Times New Roman" w:hAnsi="Times New Roman"/>
          <w:sz w:val="24"/>
          <w:szCs w:val="24"/>
        </w:rPr>
        <w:t>configuration, and the</w:t>
      </w:r>
      <w:r w:rsidR="00963E29">
        <w:rPr>
          <w:rFonts w:ascii="Times New Roman" w:hAnsi="Times New Roman"/>
          <w:sz w:val="24"/>
          <w:szCs w:val="24"/>
        </w:rPr>
        <w:t xml:space="preserve"> Co-O</w:t>
      </w:r>
      <w:r w:rsidR="00F40D3D" w:rsidRPr="00215B57">
        <w:rPr>
          <w:rFonts w:ascii="Times New Roman" w:hAnsi="Times New Roman"/>
          <w:sz w:val="24"/>
          <w:szCs w:val="24"/>
        </w:rPr>
        <w:t xml:space="preserve">wner agreement </w:t>
      </w:r>
      <w:r w:rsidR="000E22DD" w:rsidRPr="00215B57">
        <w:rPr>
          <w:rFonts w:ascii="Times New Roman" w:hAnsi="Times New Roman"/>
          <w:sz w:val="24"/>
          <w:szCs w:val="24"/>
        </w:rPr>
        <w:t>i</w:t>
      </w:r>
      <w:r w:rsidR="00F40D3D" w:rsidRPr="00215B57">
        <w:rPr>
          <w:rFonts w:ascii="Times New Roman" w:hAnsi="Times New Roman"/>
          <w:sz w:val="24"/>
          <w:szCs w:val="24"/>
        </w:rPr>
        <w:t>n no way factor</w:t>
      </w:r>
      <w:r w:rsidR="000E22DD" w:rsidRPr="00215B57">
        <w:rPr>
          <w:rFonts w:ascii="Times New Roman" w:hAnsi="Times New Roman"/>
          <w:sz w:val="24"/>
          <w:szCs w:val="24"/>
        </w:rPr>
        <w:t>s</w:t>
      </w:r>
      <w:r w:rsidR="00F40D3D" w:rsidRPr="00215B57">
        <w:rPr>
          <w:rFonts w:ascii="Times New Roman" w:hAnsi="Times New Roman"/>
          <w:sz w:val="24"/>
          <w:szCs w:val="24"/>
        </w:rPr>
        <w:t xml:space="preserve"> into the Commission’s decision.</w:t>
      </w:r>
      <w:r w:rsidRPr="00215B57">
        <w:rPr>
          <w:rFonts w:ascii="Times New Roman" w:hAnsi="Times New Roman"/>
          <w:sz w:val="24"/>
          <w:szCs w:val="24"/>
        </w:rPr>
        <w:t xml:space="preserve"> </w:t>
      </w:r>
      <w:r w:rsidR="00F40D3D" w:rsidRPr="00215B57">
        <w:rPr>
          <w:rFonts w:ascii="Times New Roman" w:hAnsi="Times New Roman"/>
          <w:sz w:val="24"/>
          <w:szCs w:val="24"/>
        </w:rPr>
        <w:t>The law provides that</w:t>
      </w:r>
      <w:r w:rsidR="000E22DD" w:rsidRPr="00215B57">
        <w:rPr>
          <w:rFonts w:ascii="Times New Roman" w:hAnsi="Times New Roman"/>
          <w:sz w:val="24"/>
          <w:szCs w:val="24"/>
        </w:rPr>
        <w:t xml:space="preserve"> the Company must show costs over the approved amount are reasonable in order to recover them from ratepayers.  The determination of reasonableness doesn’t change as a result of the </w:t>
      </w:r>
      <w:r w:rsidR="003B54C2">
        <w:rPr>
          <w:rFonts w:ascii="Times New Roman" w:hAnsi="Times New Roman"/>
          <w:sz w:val="24"/>
          <w:szCs w:val="24"/>
        </w:rPr>
        <w:t>C</w:t>
      </w:r>
      <w:r w:rsidR="003B54C2" w:rsidRPr="00215B57">
        <w:rPr>
          <w:rFonts w:ascii="Times New Roman" w:hAnsi="Times New Roman"/>
          <w:sz w:val="24"/>
          <w:szCs w:val="24"/>
        </w:rPr>
        <w:t>o</w:t>
      </w:r>
      <w:r w:rsidR="00963E29">
        <w:rPr>
          <w:rFonts w:ascii="Times New Roman" w:hAnsi="Times New Roman"/>
          <w:sz w:val="24"/>
          <w:szCs w:val="24"/>
        </w:rPr>
        <w:t>-</w:t>
      </w:r>
      <w:r w:rsidR="00B10AFA">
        <w:rPr>
          <w:rFonts w:ascii="Times New Roman" w:hAnsi="Times New Roman"/>
          <w:sz w:val="24"/>
          <w:szCs w:val="24"/>
        </w:rPr>
        <w:t>O</w:t>
      </w:r>
      <w:r w:rsidR="000E22DD" w:rsidRPr="00215B57">
        <w:rPr>
          <w:rFonts w:ascii="Times New Roman" w:hAnsi="Times New Roman"/>
          <w:sz w:val="24"/>
          <w:szCs w:val="24"/>
        </w:rPr>
        <w:t xml:space="preserve">wner </w:t>
      </w:r>
      <w:r w:rsidR="003B54C2">
        <w:rPr>
          <w:rFonts w:ascii="Times New Roman" w:hAnsi="Times New Roman"/>
          <w:sz w:val="24"/>
          <w:szCs w:val="24"/>
        </w:rPr>
        <w:t>A</w:t>
      </w:r>
      <w:r w:rsidR="003B54C2" w:rsidRPr="00215B57">
        <w:rPr>
          <w:rFonts w:ascii="Times New Roman" w:hAnsi="Times New Roman"/>
          <w:sz w:val="24"/>
          <w:szCs w:val="24"/>
        </w:rPr>
        <w:t>greement</w:t>
      </w:r>
      <w:r w:rsidR="000E22DD" w:rsidRPr="00215B57">
        <w:rPr>
          <w:rFonts w:ascii="Times New Roman" w:hAnsi="Times New Roman"/>
          <w:sz w:val="24"/>
          <w:szCs w:val="24"/>
        </w:rPr>
        <w:t>.</w:t>
      </w:r>
      <w:r w:rsidRPr="00215B57">
        <w:rPr>
          <w:rFonts w:ascii="Times New Roman" w:hAnsi="Times New Roman"/>
          <w:sz w:val="24"/>
          <w:szCs w:val="24"/>
        </w:rPr>
        <w:t xml:space="preserve"> </w:t>
      </w:r>
      <w:r w:rsidR="001E2963" w:rsidRPr="00215B57">
        <w:rPr>
          <w:rFonts w:ascii="Times New Roman" w:hAnsi="Times New Roman"/>
          <w:sz w:val="24"/>
          <w:szCs w:val="24"/>
        </w:rPr>
        <w:t xml:space="preserve">This Commission will not approve costs that are not reasonable out of speculation over whether the </w:t>
      </w:r>
      <w:r w:rsidR="003B54C2">
        <w:rPr>
          <w:rFonts w:ascii="Times New Roman" w:hAnsi="Times New Roman"/>
          <w:sz w:val="24"/>
          <w:szCs w:val="24"/>
        </w:rPr>
        <w:t>C</w:t>
      </w:r>
      <w:r w:rsidR="003B54C2" w:rsidRPr="00215B57">
        <w:rPr>
          <w:rFonts w:ascii="Times New Roman" w:hAnsi="Times New Roman"/>
          <w:sz w:val="24"/>
          <w:szCs w:val="24"/>
        </w:rPr>
        <w:t>o</w:t>
      </w:r>
      <w:r w:rsidR="001E2963" w:rsidRPr="00215B57">
        <w:rPr>
          <w:rFonts w:ascii="Times New Roman" w:hAnsi="Times New Roman"/>
          <w:sz w:val="24"/>
          <w:szCs w:val="24"/>
        </w:rPr>
        <w:t>-</w:t>
      </w:r>
      <w:r w:rsidR="00963E29">
        <w:rPr>
          <w:rFonts w:ascii="Times New Roman" w:hAnsi="Times New Roman"/>
          <w:sz w:val="24"/>
          <w:szCs w:val="24"/>
        </w:rPr>
        <w:t>O</w:t>
      </w:r>
      <w:r w:rsidR="001E2963" w:rsidRPr="00215B57">
        <w:rPr>
          <w:rFonts w:ascii="Times New Roman" w:hAnsi="Times New Roman"/>
          <w:sz w:val="24"/>
          <w:szCs w:val="24"/>
        </w:rPr>
        <w:t xml:space="preserve">wners will abandon the </w:t>
      </w:r>
      <w:r w:rsidR="00E76C68" w:rsidRPr="00215B57">
        <w:rPr>
          <w:rFonts w:ascii="Times New Roman" w:hAnsi="Times New Roman"/>
          <w:sz w:val="24"/>
          <w:szCs w:val="24"/>
        </w:rPr>
        <w:t xml:space="preserve">Project </w:t>
      </w:r>
      <w:r w:rsidR="001E2963" w:rsidRPr="00215B57">
        <w:rPr>
          <w:rFonts w:ascii="Times New Roman" w:hAnsi="Times New Roman"/>
          <w:sz w:val="24"/>
          <w:szCs w:val="24"/>
        </w:rPr>
        <w:t>in response to the disallowance.</w:t>
      </w:r>
      <w:r w:rsidRPr="00215B57">
        <w:rPr>
          <w:rFonts w:ascii="Times New Roman" w:hAnsi="Times New Roman"/>
          <w:sz w:val="24"/>
          <w:szCs w:val="24"/>
        </w:rPr>
        <w:t xml:space="preserve"> </w:t>
      </w:r>
      <w:r w:rsidR="001E2963" w:rsidRPr="00215B57">
        <w:rPr>
          <w:rFonts w:ascii="Times New Roman" w:hAnsi="Times New Roman"/>
          <w:sz w:val="24"/>
          <w:szCs w:val="24"/>
        </w:rPr>
        <w:t xml:space="preserve">There is no basis to think that the </w:t>
      </w:r>
      <w:r w:rsidR="003B54C2">
        <w:rPr>
          <w:rFonts w:ascii="Times New Roman" w:hAnsi="Times New Roman"/>
          <w:sz w:val="24"/>
          <w:szCs w:val="24"/>
        </w:rPr>
        <w:t>C</w:t>
      </w:r>
      <w:r w:rsidR="003B54C2" w:rsidRPr="00215B57">
        <w:rPr>
          <w:rFonts w:ascii="Times New Roman" w:hAnsi="Times New Roman"/>
          <w:sz w:val="24"/>
          <w:szCs w:val="24"/>
        </w:rPr>
        <w:t>o</w:t>
      </w:r>
      <w:r w:rsidR="00963E29">
        <w:rPr>
          <w:rFonts w:ascii="Times New Roman" w:hAnsi="Times New Roman"/>
          <w:sz w:val="24"/>
          <w:szCs w:val="24"/>
        </w:rPr>
        <w:t>-O</w:t>
      </w:r>
      <w:r w:rsidR="001E2963" w:rsidRPr="00215B57">
        <w:rPr>
          <w:rFonts w:ascii="Times New Roman" w:hAnsi="Times New Roman"/>
          <w:sz w:val="24"/>
          <w:szCs w:val="24"/>
        </w:rPr>
        <w:t>wners will be adversely impacted if the Commission disapproves certain proposed revisions to the cost.</w:t>
      </w:r>
      <w:r w:rsidRPr="00215B57">
        <w:rPr>
          <w:rFonts w:ascii="Times New Roman" w:hAnsi="Times New Roman"/>
          <w:sz w:val="24"/>
          <w:szCs w:val="24"/>
        </w:rPr>
        <w:t xml:space="preserve"> Finally, t</w:t>
      </w:r>
      <w:r w:rsidR="001E2963" w:rsidRPr="00215B57">
        <w:rPr>
          <w:rFonts w:ascii="Times New Roman" w:hAnsi="Times New Roman"/>
          <w:sz w:val="24"/>
          <w:szCs w:val="24"/>
        </w:rPr>
        <w:t xml:space="preserve">he Company cannot enter into an agreement that impairs its </w:t>
      </w:r>
      <w:r w:rsidR="00FA5A17" w:rsidRPr="00215B57">
        <w:rPr>
          <w:rFonts w:ascii="Times New Roman" w:hAnsi="Times New Roman"/>
          <w:sz w:val="24"/>
          <w:szCs w:val="24"/>
        </w:rPr>
        <w:t xml:space="preserve">obligation to discharge its public duty to provide </w:t>
      </w:r>
      <w:r w:rsidR="00264207">
        <w:rPr>
          <w:rFonts w:ascii="Times New Roman" w:hAnsi="Times New Roman"/>
          <w:sz w:val="24"/>
          <w:szCs w:val="24"/>
        </w:rPr>
        <w:t>just and reasonable</w:t>
      </w:r>
      <w:r w:rsidR="00FA5A17" w:rsidRPr="00215B57">
        <w:rPr>
          <w:rFonts w:ascii="Times New Roman" w:hAnsi="Times New Roman"/>
          <w:sz w:val="24"/>
          <w:szCs w:val="24"/>
        </w:rPr>
        <w:t xml:space="preserve"> service.  </w:t>
      </w:r>
    </w:p>
    <w:p w:rsidR="00BF13D7" w:rsidRDefault="00BF13D7" w:rsidP="00215B57">
      <w:pPr>
        <w:jc w:val="center"/>
        <w:rPr>
          <w:rFonts w:ascii="Times New Roman" w:hAnsi="Times New Roman"/>
          <w:b/>
          <w:sz w:val="24"/>
          <w:szCs w:val="24"/>
        </w:rPr>
      </w:pPr>
    </w:p>
    <w:p w:rsidR="00215B57" w:rsidRPr="00F426DE" w:rsidRDefault="00BF13D7" w:rsidP="00215B57">
      <w:pPr>
        <w:jc w:val="center"/>
        <w:rPr>
          <w:rFonts w:ascii="Times New Roman" w:hAnsi="Times New Roman"/>
          <w:sz w:val="24"/>
          <w:szCs w:val="24"/>
        </w:rPr>
      </w:pPr>
      <w:r>
        <w:rPr>
          <w:rFonts w:ascii="Times New Roman" w:hAnsi="Times New Roman"/>
          <w:b/>
          <w:sz w:val="24"/>
          <w:szCs w:val="24"/>
        </w:rPr>
        <w:t>II.</w:t>
      </w:r>
      <w:r>
        <w:rPr>
          <w:rFonts w:ascii="Times New Roman" w:hAnsi="Times New Roman"/>
          <w:b/>
          <w:sz w:val="24"/>
          <w:szCs w:val="24"/>
        </w:rPr>
        <w:tab/>
      </w:r>
      <w:r w:rsidRPr="00BF13D7">
        <w:rPr>
          <w:rFonts w:ascii="Times New Roman" w:hAnsi="Times New Roman"/>
          <w:b/>
          <w:sz w:val="24"/>
          <w:szCs w:val="24"/>
          <w:u w:val="single"/>
        </w:rPr>
        <w:t>STATEMENT OF PROCEEDINGS</w:t>
      </w:r>
      <w:r w:rsidR="00215B57" w:rsidRPr="00F426DE">
        <w:rPr>
          <w:rFonts w:ascii="Times New Roman" w:hAnsi="Times New Roman"/>
          <w:sz w:val="24"/>
          <w:szCs w:val="24"/>
        </w:rPr>
        <w:t xml:space="preserve"> </w:t>
      </w:r>
    </w:p>
    <w:p w:rsidR="00215B57" w:rsidRPr="00F426DE" w:rsidRDefault="00215B57" w:rsidP="00BF13D7">
      <w:pPr>
        <w:spacing w:line="240" w:lineRule="auto"/>
        <w:ind w:firstLine="720"/>
        <w:jc w:val="both"/>
        <w:rPr>
          <w:rFonts w:ascii="Times New Roman" w:hAnsi="Times New Roman"/>
          <w:sz w:val="24"/>
          <w:szCs w:val="24"/>
        </w:rPr>
      </w:pPr>
      <w:r w:rsidRPr="00F426DE">
        <w:rPr>
          <w:rFonts w:ascii="Times New Roman" w:hAnsi="Times New Roman"/>
          <w:sz w:val="24"/>
          <w:szCs w:val="24"/>
        </w:rPr>
        <w:t xml:space="preserve">Georgia Power filed its Seventeenth Semi-Annual Construction Monitoring Report </w:t>
      </w:r>
      <w:r>
        <w:rPr>
          <w:rFonts w:ascii="Times New Roman" w:hAnsi="Times New Roman"/>
          <w:sz w:val="24"/>
          <w:szCs w:val="24"/>
        </w:rPr>
        <w:t xml:space="preserve">(“Report”) </w:t>
      </w:r>
      <w:r w:rsidRPr="00F426DE">
        <w:rPr>
          <w:rFonts w:ascii="Times New Roman" w:hAnsi="Times New Roman"/>
          <w:sz w:val="24"/>
          <w:szCs w:val="24"/>
        </w:rPr>
        <w:t xml:space="preserve">for Plant Vogtle Units 3 and 4 on August 31, 2017. The Procedural and Scheduling Order governing the process was issued on September 21, 2017. In accordance with the September 21, 2017, Procedural and Scheduling Order, </w:t>
      </w:r>
      <w:r w:rsidR="009C6006">
        <w:rPr>
          <w:rFonts w:ascii="Times New Roman" w:hAnsi="Times New Roman"/>
          <w:sz w:val="24"/>
          <w:szCs w:val="24"/>
        </w:rPr>
        <w:t>P</w:t>
      </w:r>
      <w:r w:rsidR="00F0512A">
        <w:rPr>
          <w:rFonts w:ascii="Times New Roman" w:hAnsi="Times New Roman"/>
          <w:sz w:val="24"/>
          <w:szCs w:val="24"/>
        </w:rPr>
        <w:t xml:space="preserve">ublic </w:t>
      </w:r>
      <w:r w:rsidR="009C6006">
        <w:rPr>
          <w:rFonts w:ascii="Times New Roman" w:hAnsi="Times New Roman"/>
          <w:sz w:val="24"/>
          <w:szCs w:val="24"/>
        </w:rPr>
        <w:t>I</w:t>
      </w:r>
      <w:r w:rsidR="00F0512A">
        <w:rPr>
          <w:rFonts w:ascii="Times New Roman" w:hAnsi="Times New Roman"/>
          <w:sz w:val="24"/>
          <w:szCs w:val="24"/>
        </w:rPr>
        <w:t xml:space="preserve">nterest </w:t>
      </w:r>
      <w:r w:rsidR="009C6006">
        <w:rPr>
          <w:rFonts w:ascii="Times New Roman" w:hAnsi="Times New Roman"/>
          <w:sz w:val="24"/>
          <w:szCs w:val="24"/>
        </w:rPr>
        <w:t>A</w:t>
      </w:r>
      <w:r w:rsidR="00F0512A">
        <w:rPr>
          <w:rFonts w:ascii="Times New Roman" w:hAnsi="Times New Roman"/>
          <w:sz w:val="24"/>
          <w:szCs w:val="24"/>
        </w:rPr>
        <w:t xml:space="preserve">dvocacy </w:t>
      </w:r>
      <w:r w:rsidR="009C6006">
        <w:rPr>
          <w:rFonts w:ascii="Times New Roman" w:hAnsi="Times New Roman"/>
          <w:sz w:val="24"/>
          <w:szCs w:val="24"/>
        </w:rPr>
        <w:t>S</w:t>
      </w:r>
      <w:r w:rsidR="00F0512A">
        <w:rPr>
          <w:rFonts w:ascii="Times New Roman" w:hAnsi="Times New Roman"/>
          <w:sz w:val="24"/>
          <w:szCs w:val="24"/>
        </w:rPr>
        <w:t xml:space="preserve">taff </w:t>
      </w:r>
      <w:r w:rsidRPr="00F426DE">
        <w:rPr>
          <w:rFonts w:ascii="Times New Roman" w:hAnsi="Times New Roman"/>
          <w:sz w:val="24"/>
          <w:szCs w:val="24"/>
        </w:rPr>
        <w:t>filed a Motion to Strike (“Staff Motion”) in regards to portions of Georgia Power</w:t>
      </w:r>
      <w:r w:rsidR="009C6006">
        <w:rPr>
          <w:rFonts w:ascii="Times New Roman" w:hAnsi="Times New Roman"/>
          <w:sz w:val="24"/>
          <w:szCs w:val="24"/>
        </w:rPr>
        <w:t xml:space="preserve">’s </w:t>
      </w:r>
      <w:r>
        <w:rPr>
          <w:rFonts w:ascii="Times New Roman" w:hAnsi="Times New Roman"/>
          <w:sz w:val="24"/>
          <w:szCs w:val="24"/>
        </w:rPr>
        <w:t>Report</w:t>
      </w:r>
      <w:r w:rsidRPr="00F426DE">
        <w:rPr>
          <w:rFonts w:ascii="Times New Roman" w:hAnsi="Times New Roman"/>
          <w:sz w:val="24"/>
          <w:szCs w:val="24"/>
        </w:rPr>
        <w:t>, which was incorporated by reference in the Company’s tes</w:t>
      </w:r>
      <w:r>
        <w:rPr>
          <w:rFonts w:ascii="Times New Roman" w:hAnsi="Times New Roman"/>
          <w:sz w:val="24"/>
          <w:szCs w:val="24"/>
        </w:rPr>
        <w:t>timony filed on October 6, 2017. Portions</w:t>
      </w:r>
      <w:r w:rsidRPr="00F426DE">
        <w:rPr>
          <w:rFonts w:ascii="Times New Roman" w:hAnsi="Times New Roman"/>
          <w:sz w:val="24"/>
          <w:szCs w:val="24"/>
        </w:rPr>
        <w:t xml:space="preserve"> </w:t>
      </w:r>
      <w:r>
        <w:rPr>
          <w:rFonts w:ascii="Times New Roman" w:hAnsi="Times New Roman"/>
          <w:sz w:val="24"/>
          <w:szCs w:val="24"/>
        </w:rPr>
        <w:t xml:space="preserve">of the Report </w:t>
      </w:r>
      <w:r w:rsidRPr="00F426DE">
        <w:rPr>
          <w:rFonts w:ascii="Times New Roman" w:hAnsi="Times New Roman"/>
          <w:sz w:val="24"/>
          <w:szCs w:val="24"/>
        </w:rPr>
        <w:t>purport</w:t>
      </w:r>
      <w:r>
        <w:rPr>
          <w:rFonts w:ascii="Times New Roman" w:hAnsi="Times New Roman"/>
          <w:sz w:val="24"/>
          <w:szCs w:val="24"/>
        </w:rPr>
        <w:t>ed</w:t>
      </w:r>
      <w:r w:rsidRPr="00F426DE">
        <w:rPr>
          <w:rFonts w:ascii="Times New Roman" w:hAnsi="Times New Roman"/>
          <w:sz w:val="24"/>
          <w:szCs w:val="24"/>
        </w:rPr>
        <w:t xml:space="preserve"> to state the opinions and thought processes of Oglethorpe Power Corporation, Municipal Electric Authority of Georgia and Dalton Utilities.  The Staff stated that, “..the Co-Owners have not filed testimony in this proceeding and Georgia Power has not sponsored any Co-Owner witnesses, and the statements contained in the Report and incorporated into the testimony are inadmissible hearsay and should be stricken.</w:t>
      </w:r>
      <w:r w:rsidR="00F249F1">
        <w:rPr>
          <w:rFonts w:ascii="Times New Roman" w:hAnsi="Times New Roman"/>
          <w:sz w:val="24"/>
          <w:szCs w:val="24"/>
        </w:rPr>
        <w:t>”</w:t>
      </w:r>
      <w:r w:rsidRPr="00F426DE">
        <w:rPr>
          <w:rFonts w:ascii="Times New Roman" w:hAnsi="Times New Roman"/>
          <w:sz w:val="24"/>
          <w:szCs w:val="24"/>
        </w:rPr>
        <w:t xml:space="preserve">  (Staff Motion at p. 1). At the November 6, 2017 hearing, the Commission den</w:t>
      </w:r>
      <w:r w:rsidR="00F249F1">
        <w:rPr>
          <w:rFonts w:ascii="Times New Roman" w:hAnsi="Times New Roman"/>
          <w:sz w:val="24"/>
          <w:szCs w:val="24"/>
        </w:rPr>
        <w:t>ied</w:t>
      </w:r>
      <w:r w:rsidRPr="00F426DE">
        <w:rPr>
          <w:rFonts w:ascii="Times New Roman" w:hAnsi="Times New Roman"/>
          <w:sz w:val="24"/>
          <w:szCs w:val="24"/>
        </w:rPr>
        <w:t xml:space="preserve"> </w:t>
      </w:r>
      <w:r w:rsidR="0069025F">
        <w:rPr>
          <w:rFonts w:ascii="Times New Roman" w:hAnsi="Times New Roman"/>
          <w:sz w:val="24"/>
          <w:szCs w:val="24"/>
        </w:rPr>
        <w:t xml:space="preserve">the </w:t>
      </w:r>
      <w:r w:rsidRPr="00F426DE">
        <w:rPr>
          <w:rFonts w:ascii="Times New Roman" w:hAnsi="Times New Roman"/>
          <w:sz w:val="24"/>
          <w:szCs w:val="24"/>
        </w:rPr>
        <w:t xml:space="preserve">Staff </w:t>
      </w:r>
      <w:r w:rsidR="0069025F">
        <w:rPr>
          <w:rFonts w:ascii="Times New Roman" w:hAnsi="Times New Roman"/>
          <w:sz w:val="24"/>
          <w:szCs w:val="24"/>
        </w:rPr>
        <w:t>M</w:t>
      </w:r>
      <w:r w:rsidRPr="00F426DE">
        <w:rPr>
          <w:rFonts w:ascii="Times New Roman" w:hAnsi="Times New Roman"/>
          <w:sz w:val="24"/>
          <w:szCs w:val="24"/>
        </w:rPr>
        <w:t>otion.  (Tr. 10).</w:t>
      </w:r>
    </w:p>
    <w:p w:rsidR="00215B57" w:rsidRDefault="00215B57" w:rsidP="00BF13D7">
      <w:pPr>
        <w:spacing w:line="240" w:lineRule="auto"/>
        <w:ind w:firstLine="720"/>
        <w:jc w:val="both"/>
        <w:rPr>
          <w:rFonts w:ascii="Times New Roman" w:hAnsi="Times New Roman"/>
          <w:sz w:val="24"/>
          <w:szCs w:val="24"/>
        </w:rPr>
      </w:pPr>
      <w:r w:rsidRPr="00F426DE">
        <w:rPr>
          <w:rFonts w:ascii="Times New Roman" w:hAnsi="Times New Roman"/>
          <w:sz w:val="24"/>
          <w:szCs w:val="24"/>
        </w:rPr>
        <w:t>On October 6, 2017</w:t>
      </w:r>
      <w:r w:rsidR="00F249F1">
        <w:rPr>
          <w:rFonts w:ascii="Times New Roman" w:hAnsi="Times New Roman"/>
          <w:sz w:val="24"/>
          <w:szCs w:val="24"/>
        </w:rPr>
        <w:t>,</w:t>
      </w:r>
      <w:r w:rsidRPr="00F426DE">
        <w:rPr>
          <w:rFonts w:ascii="Times New Roman" w:hAnsi="Times New Roman"/>
          <w:sz w:val="24"/>
          <w:szCs w:val="24"/>
        </w:rPr>
        <w:t xml:space="preserve"> Georgia Power filed the direct </w:t>
      </w:r>
      <w:r w:rsidR="00CE3633">
        <w:rPr>
          <w:rFonts w:ascii="Times New Roman" w:hAnsi="Times New Roman"/>
          <w:sz w:val="24"/>
          <w:szCs w:val="24"/>
        </w:rPr>
        <w:t>t</w:t>
      </w:r>
      <w:r w:rsidRPr="00F426DE">
        <w:rPr>
          <w:rFonts w:ascii="Times New Roman" w:hAnsi="Times New Roman"/>
          <w:sz w:val="24"/>
          <w:szCs w:val="24"/>
        </w:rPr>
        <w:t xml:space="preserve">estimony of the </w:t>
      </w:r>
      <w:r w:rsidR="00CE3633">
        <w:rPr>
          <w:rFonts w:ascii="Times New Roman" w:hAnsi="Times New Roman"/>
          <w:sz w:val="24"/>
          <w:szCs w:val="24"/>
        </w:rPr>
        <w:t>p</w:t>
      </w:r>
      <w:r w:rsidRPr="00F426DE">
        <w:rPr>
          <w:rFonts w:ascii="Times New Roman" w:hAnsi="Times New Roman"/>
          <w:sz w:val="24"/>
          <w:szCs w:val="24"/>
        </w:rPr>
        <w:t xml:space="preserve">anel of Messrs. David L. McKinney and Jeremiah C. Haswell, the </w:t>
      </w:r>
      <w:r w:rsidR="00CE3633">
        <w:rPr>
          <w:rFonts w:ascii="Times New Roman" w:hAnsi="Times New Roman"/>
          <w:sz w:val="24"/>
          <w:szCs w:val="24"/>
        </w:rPr>
        <w:t>p</w:t>
      </w:r>
      <w:r w:rsidRPr="00F426DE">
        <w:rPr>
          <w:rFonts w:ascii="Times New Roman" w:hAnsi="Times New Roman"/>
          <w:sz w:val="24"/>
          <w:szCs w:val="24"/>
        </w:rPr>
        <w:t xml:space="preserve">anel of Messrs. Mark D. Rauckhorst, Joseph B. Klecha and Tyrone P. Troutman, the </w:t>
      </w:r>
      <w:r w:rsidR="00CE3633">
        <w:rPr>
          <w:rFonts w:ascii="Times New Roman" w:hAnsi="Times New Roman"/>
          <w:sz w:val="24"/>
          <w:szCs w:val="24"/>
        </w:rPr>
        <w:t>p</w:t>
      </w:r>
      <w:r w:rsidRPr="00F426DE">
        <w:rPr>
          <w:rFonts w:ascii="Times New Roman" w:hAnsi="Times New Roman"/>
          <w:sz w:val="24"/>
          <w:szCs w:val="24"/>
        </w:rPr>
        <w:t>anel of Messrs. Richard J. Sieracki and Mark A. Gentry, Mr. Daryl W</w:t>
      </w:r>
      <w:r w:rsidR="00364CEB">
        <w:rPr>
          <w:rFonts w:ascii="Times New Roman" w:hAnsi="Times New Roman"/>
          <w:sz w:val="24"/>
          <w:szCs w:val="24"/>
        </w:rPr>
        <w:t>al</w:t>
      </w:r>
      <w:r w:rsidRPr="00F426DE">
        <w:rPr>
          <w:rFonts w:ascii="Times New Roman" w:hAnsi="Times New Roman"/>
          <w:sz w:val="24"/>
          <w:szCs w:val="24"/>
        </w:rPr>
        <w:t xml:space="preserve">croft. Mr. Jack F Williams, the </w:t>
      </w:r>
      <w:r w:rsidR="00CE3633">
        <w:rPr>
          <w:rFonts w:ascii="Times New Roman" w:hAnsi="Times New Roman"/>
          <w:sz w:val="24"/>
          <w:szCs w:val="24"/>
        </w:rPr>
        <w:t>p</w:t>
      </w:r>
      <w:r w:rsidRPr="00F426DE">
        <w:rPr>
          <w:rFonts w:ascii="Times New Roman" w:hAnsi="Times New Roman"/>
          <w:sz w:val="24"/>
          <w:szCs w:val="24"/>
        </w:rPr>
        <w:t xml:space="preserve">anel of </w:t>
      </w:r>
      <w:r w:rsidR="00364CEB">
        <w:rPr>
          <w:rFonts w:ascii="Times New Roman" w:hAnsi="Times New Roman"/>
          <w:sz w:val="24"/>
          <w:szCs w:val="24"/>
        </w:rPr>
        <w:t xml:space="preserve">Ms. </w:t>
      </w:r>
      <w:r w:rsidRPr="00F426DE">
        <w:rPr>
          <w:rFonts w:ascii="Times New Roman" w:hAnsi="Times New Roman"/>
          <w:sz w:val="24"/>
          <w:szCs w:val="24"/>
        </w:rPr>
        <w:t>Alison R. Chiock and Mr. David P. Poroch</w:t>
      </w:r>
      <w:r w:rsidR="00364CEB">
        <w:rPr>
          <w:rFonts w:ascii="Times New Roman" w:hAnsi="Times New Roman"/>
          <w:sz w:val="24"/>
          <w:szCs w:val="24"/>
        </w:rPr>
        <w:t>,</w:t>
      </w:r>
      <w:r w:rsidRPr="00F426DE">
        <w:rPr>
          <w:rFonts w:ascii="Times New Roman" w:hAnsi="Times New Roman"/>
          <w:sz w:val="24"/>
          <w:szCs w:val="24"/>
        </w:rPr>
        <w:t xml:space="preserve"> and Mr. David Gattie. </w:t>
      </w:r>
      <w:r>
        <w:rPr>
          <w:rFonts w:ascii="Times New Roman" w:hAnsi="Times New Roman"/>
          <w:sz w:val="24"/>
          <w:szCs w:val="24"/>
        </w:rPr>
        <w:t xml:space="preserve"> </w:t>
      </w:r>
      <w:r w:rsidR="00CE3633">
        <w:rPr>
          <w:rFonts w:ascii="Times New Roman" w:hAnsi="Times New Roman"/>
          <w:sz w:val="24"/>
          <w:szCs w:val="24"/>
        </w:rPr>
        <w:t>Hearings</w:t>
      </w:r>
      <w:r>
        <w:rPr>
          <w:rFonts w:ascii="Times New Roman" w:hAnsi="Times New Roman"/>
          <w:sz w:val="24"/>
          <w:szCs w:val="24"/>
        </w:rPr>
        <w:t xml:space="preserve"> on t</w:t>
      </w:r>
      <w:r w:rsidRPr="00F426DE">
        <w:rPr>
          <w:rFonts w:ascii="Times New Roman" w:hAnsi="Times New Roman"/>
          <w:sz w:val="24"/>
          <w:szCs w:val="24"/>
        </w:rPr>
        <w:t>he Company’s direct testimony w</w:t>
      </w:r>
      <w:r w:rsidR="00CE3633">
        <w:rPr>
          <w:rFonts w:ascii="Times New Roman" w:hAnsi="Times New Roman"/>
          <w:sz w:val="24"/>
          <w:szCs w:val="24"/>
        </w:rPr>
        <w:t>ere</w:t>
      </w:r>
      <w:r w:rsidRPr="00F426DE">
        <w:rPr>
          <w:rFonts w:ascii="Times New Roman" w:hAnsi="Times New Roman"/>
          <w:sz w:val="24"/>
          <w:szCs w:val="24"/>
        </w:rPr>
        <w:t xml:space="preserve"> </w:t>
      </w:r>
      <w:r>
        <w:rPr>
          <w:rFonts w:ascii="Times New Roman" w:hAnsi="Times New Roman"/>
          <w:sz w:val="24"/>
          <w:szCs w:val="24"/>
        </w:rPr>
        <w:t>held</w:t>
      </w:r>
      <w:r w:rsidRPr="00F426DE">
        <w:rPr>
          <w:rFonts w:ascii="Times New Roman" w:hAnsi="Times New Roman"/>
          <w:sz w:val="24"/>
          <w:szCs w:val="24"/>
        </w:rPr>
        <w:t xml:space="preserve"> on November 6</w:t>
      </w:r>
      <w:r w:rsidR="00CE3633">
        <w:rPr>
          <w:rFonts w:ascii="Times New Roman" w:hAnsi="Times New Roman"/>
          <w:sz w:val="24"/>
          <w:szCs w:val="24"/>
        </w:rPr>
        <w:t>-</w:t>
      </w:r>
      <w:r w:rsidR="00F0512A">
        <w:rPr>
          <w:rFonts w:ascii="Times New Roman" w:hAnsi="Times New Roman"/>
          <w:sz w:val="24"/>
          <w:szCs w:val="24"/>
        </w:rPr>
        <w:t>9</w:t>
      </w:r>
      <w:r w:rsidRPr="00F426DE">
        <w:rPr>
          <w:rFonts w:ascii="Times New Roman" w:hAnsi="Times New Roman"/>
          <w:sz w:val="24"/>
          <w:szCs w:val="24"/>
        </w:rPr>
        <w:t>, 2017.</w:t>
      </w:r>
    </w:p>
    <w:p w:rsidR="00215B57" w:rsidRPr="00F426DE" w:rsidRDefault="00215B57" w:rsidP="00BF13D7">
      <w:pPr>
        <w:spacing w:line="240" w:lineRule="auto"/>
        <w:ind w:firstLine="720"/>
        <w:jc w:val="both"/>
        <w:rPr>
          <w:rFonts w:ascii="Times New Roman" w:hAnsi="Times New Roman"/>
          <w:sz w:val="24"/>
          <w:szCs w:val="24"/>
        </w:rPr>
      </w:pPr>
      <w:r>
        <w:rPr>
          <w:rFonts w:ascii="Times New Roman" w:hAnsi="Times New Roman"/>
          <w:sz w:val="24"/>
          <w:szCs w:val="24"/>
        </w:rPr>
        <w:t>O</w:t>
      </w:r>
      <w:r w:rsidRPr="00F426DE">
        <w:rPr>
          <w:rFonts w:ascii="Times New Roman" w:hAnsi="Times New Roman"/>
          <w:sz w:val="24"/>
          <w:szCs w:val="24"/>
        </w:rPr>
        <w:t>n December 1, 2017</w:t>
      </w:r>
      <w:r w:rsidR="00CE3633">
        <w:rPr>
          <w:rFonts w:ascii="Times New Roman" w:hAnsi="Times New Roman"/>
          <w:sz w:val="24"/>
          <w:szCs w:val="24"/>
        </w:rPr>
        <w:t>,</w:t>
      </w:r>
      <w:r w:rsidRPr="00F426DE">
        <w:rPr>
          <w:rFonts w:ascii="Times New Roman" w:hAnsi="Times New Roman"/>
          <w:sz w:val="24"/>
          <w:szCs w:val="24"/>
        </w:rPr>
        <w:t xml:space="preserve"> Staff filed</w:t>
      </w:r>
      <w:r>
        <w:rPr>
          <w:rFonts w:ascii="Times New Roman" w:hAnsi="Times New Roman"/>
          <w:sz w:val="24"/>
          <w:szCs w:val="24"/>
        </w:rPr>
        <w:t xml:space="preserve"> </w:t>
      </w:r>
      <w:r w:rsidRPr="00F426DE">
        <w:rPr>
          <w:rFonts w:ascii="Times New Roman" w:hAnsi="Times New Roman"/>
          <w:sz w:val="24"/>
          <w:szCs w:val="24"/>
        </w:rPr>
        <w:t xml:space="preserve">the direct </w:t>
      </w:r>
      <w:r w:rsidR="00CE3633">
        <w:rPr>
          <w:rFonts w:ascii="Times New Roman" w:hAnsi="Times New Roman"/>
          <w:sz w:val="24"/>
          <w:szCs w:val="24"/>
        </w:rPr>
        <w:t>t</w:t>
      </w:r>
      <w:r w:rsidRPr="00F426DE">
        <w:rPr>
          <w:rFonts w:ascii="Times New Roman" w:hAnsi="Times New Roman"/>
          <w:sz w:val="24"/>
          <w:szCs w:val="24"/>
        </w:rPr>
        <w:t xml:space="preserve">estimony of the </w:t>
      </w:r>
      <w:r w:rsidR="00CA0259">
        <w:rPr>
          <w:rFonts w:ascii="Times New Roman" w:hAnsi="Times New Roman"/>
          <w:sz w:val="24"/>
          <w:szCs w:val="24"/>
        </w:rPr>
        <w:t>p</w:t>
      </w:r>
      <w:r w:rsidRPr="00F426DE">
        <w:rPr>
          <w:rFonts w:ascii="Times New Roman" w:hAnsi="Times New Roman"/>
          <w:sz w:val="24"/>
          <w:szCs w:val="24"/>
        </w:rPr>
        <w:t xml:space="preserve">anel of Tom Newsome, Philip Hayet and Lane Kollen, the panel of E. Cary Cook and Shemetha Q. Jones, and the panel of William R. Jacobs Jr., Ph.D., Steven D. Roetger and Ralph Smith. On that same date, Southern Alliance for Clean Energy filed the direct </w:t>
      </w:r>
      <w:r w:rsidR="00CA0259">
        <w:rPr>
          <w:rFonts w:ascii="Times New Roman" w:hAnsi="Times New Roman"/>
          <w:sz w:val="24"/>
          <w:szCs w:val="24"/>
        </w:rPr>
        <w:t>t</w:t>
      </w:r>
      <w:r w:rsidRPr="00F426DE">
        <w:rPr>
          <w:rFonts w:ascii="Times New Roman" w:hAnsi="Times New Roman"/>
          <w:sz w:val="24"/>
          <w:szCs w:val="24"/>
        </w:rPr>
        <w:t xml:space="preserve">estimony of Peter A. Bradford, Georgia State Building and Construction Trades Council and the Augusta Building and Construction Trades Council , filed the direct </w:t>
      </w:r>
      <w:r w:rsidR="00CA0259">
        <w:rPr>
          <w:rFonts w:ascii="Times New Roman" w:hAnsi="Times New Roman"/>
          <w:sz w:val="24"/>
          <w:szCs w:val="24"/>
        </w:rPr>
        <w:t>t</w:t>
      </w:r>
      <w:r w:rsidRPr="00F426DE">
        <w:rPr>
          <w:rFonts w:ascii="Times New Roman" w:hAnsi="Times New Roman"/>
          <w:sz w:val="24"/>
          <w:szCs w:val="24"/>
        </w:rPr>
        <w:t xml:space="preserve">estimony of Brent Booker, Nuclear Energy Institute </w:t>
      </w:r>
      <w:r w:rsidR="00F0512A">
        <w:rPr>
          <w:rFonts w:ascii="Times New Roman" w:hAnsi="Times New Roman"/>
          <w:sz w:val="24"/>
          <w:szCs w:val="24"/>
        </w:rPr>
        <w:t xml:space="preserve"> </w:t>
      </w:r>
      <w:r w:rsidRPr="00F426DE">
        <w:rPr>
          <w:rFonts w:ascii="Times New Roman" w:hAnsi="Times New Roman"/>
          <w:sz w:val="24"/>
          <w:szCs w:val="24"/>
        </w:rPr>
        <w:t xml:space="preserve">filed the direct Testimony of Mary G. Korsnick, Georgia Interfaith Power and Light  and Partnership For Southern Equality filed the direct </w:t>
      </w:r>
      <w:r w:rsidR="00CA0259">
        <w:rPr>
          <w:rFonts w:ascii="Times New Roman" w:hAnsi="Times New Roman"/>
          <w:sz w:val="24"/>
          <w:szCs w:val="24"/>
        </w:rPr>
        <w:t>t</w:t>
      </w:r>
      <w:r w:rsidRPr="00F426DE">
        <w:rPr>
          <w:rFonts w:ascii="Times New Roman" w:hAnsi="Times New Roman"/>
          <w:sz w:val="24"/>
          <w:szCs w:val="24"/>
        </w:rPr>
        <w:t xml:space="preserve">estimony of William M. Cox, PhD. and Jeffrey Berhold, and Nuclear Watch South  filed the direct </w:t>
      </w:r>
      <w:r w:rsidR="00CA0259">
        <w:rPr>
          <w:rFonts w:ascii="Times New Roman" w:hAnsi="Times New Roman"/>
          <w:sz w:val="24"/>
          <w:szCs w:val="24"/>
        </w:rPr>
        <w:t>t</w:t>
      </w:r>
      <w:r w:rsidRPr="00F426DE">
        <w:rPr>
          <w:rFonts w:ascii="Times New Roman" w:hAnsi="Times New Roman"/>
          <w:sz w:val="24"/>
          <w:szCs w:val="24"/>
        </w:rPr>
        <w:t>estimony of Joseph T. Pokalsky.</w:t>
      </w:r>
    </w:p>
    <w:p w:rsidR="00215B57" w:rsidRPr="00F426DE" w:rsidRDefault="00215B57" w:rsidP="00BF13D7">
      <w:pPr>
        <w:spacing w:line="240" w:lineRule="auto"/>
        <w:ind w:firstLine="720"/>
        <w:jc w:val="both"/>
        <w:rPr>
          <w:rFonts w:ascii="Times New Roman" w:hAnsi="Times New Roman"/>
          <w:sz w:val="24"/>
          <w:szCs w:val="24"/>
        </w:rPr>
      </w:pPr>
      <w:r w:rsidRPr="00F426DE">
        <w:rPr>
          <w:rFonts w:ascii="Times New Roman" w:hAnsi="Times New Roman"/>
          <w:sz w:val="24"/>
          <w:szCs w:val="24"/>
        </w:rPr>
        <w:t>A hearing on the Staff</w:t>
      </w:r>
      <w:r>
        <w:rPr>
          <w:rFonts w:ascii="Times New Roman" w:hAnsi="Times New Roman"/>
          <w:sz w:val="24"/>
          <w:szCs w:val="24"/>
        </w:rPr>
        <w:t xml:space="preserve"> </w:t>
      </w:r>
      <w:r w:rsidRPr="00F426DE">
        <w:rPr>
          <w:rFonts w:ascii="Times New Roman" w:hAnsi="Times New Roman"/>
          <w:sz w:val="24"/>
          <w:szCs w:val="24"/>
        </w:rPr>
        <w:t>and Intervenors</w:t>
      </w:r>
      <w:r>
        <w:rPr>
          <w:rFonts w:ascii="Times New Roman" w:hAnsi="Times New Roman"/>
          <w:sz w:val="24"/>
          <w:szCs w:val="24"/>
        </w:rPr>
        <w:t xml:space="preserve"> </w:t>
      </w:r>
      <w:r w:rsidRPr="00F426DE">
        <w:rPr>
          <w:rFonts w:ascii="Times New Roman" w:hAnsi="Times New Roman"/>
          <w:sz w:val="24"/>
          <w:szCs w:val="24"/>
        </w:rPr>
        <w:t xml:space="preserve">testimony was held on December 11, 12, and 13, 2017. Georgia Association of Manufacturers, Georgia Industrial Group , Resource Supply </w:t>
      </w:r>
      <w:r w:rsidR="00B10AFA" w:rsidRPr="00F426DE">
        <w:rPr>
          <w:rFonts w:ascii="Times New Roman" w:hAnsi="Times New Roman"/>
          <w:sz w:val="24"/>
          <w:szCs w:val="24"/>
        </w:rPr>
        <w:t>Management,</w:t>
      </w:r>
      <w:r w:rsidRPr="00F426DE">
        <w:rPr>
          <w:rFonts w:ascii="Times New Roman" w:hAnsi="Times New Roman"/>
          <w:sz w:val="24"/>
          <w:szCs w:val="24"/>
        </w:rPr>
        <w:t xml:space="preserve"> Municipal Electric Authority of Georgia (“MEAG”)</w:t>
      </w:r>
      <w:r w:rsidR="00646757">
        <w:rPr>
          <w:rFonts w:ascii="Times New Roman" w:hAnsi="Times New Roman"/>
          <w:sz w:val="24"/>
          <w:szCs w:val="24"/>
        </w:rPr>
        <w:t>, Georgia Watch</w:t>
      </w:r>
      <w:r w:rsidRPr="00F426DE">
        <w:rPr>
          <w:rFonts w:ascii="Times New Roman" w:hAnsi="Times New Roman"/>
          <w:sz w:val="24"/>
          <w:szCs w:val="24"/>
        </w:rPr>
        <w:t>, and Jacksonville Electric Authority were also parties represented in the proceeding.</w:t>
      </w:r>
    </w:p>
    <w:p w:rsidR="00215B57" w:rsidRDefault="00215B57" w:rsidP="00BF13D7">
      <w:pPr>
        <w:spacing w:line="240" w:lineRule="auto"/>
        <w:ind w:firstLine="720"/>
        <w:jc w:val="both"/>
        <w:rPr>
          <w:rFonts w:ascii="Times New Roman" w:hAnsi="Times New Roman"/>
          <w:sz w:val="24"/>
          <w:szCs w:val="24"/>
        </w:rPr>
      </w:pPr>
      <w:r w:rsidRPr="00F426DE">
        <w:rPr>
          <w:rFonts w:ascii="Times New Roman" w:hAnsi="Times New Roman"/>
          <w:sz w:val="24"/>
          <w:szCs w:val="24"/>
        </w:rPr>
        <w:t>On December 11, 2017</w:t>
      </w:r>
      <w:r w:rsidR="00CA0259">
        <w:rPr>
          <w:rFonts w:ascii="Times New Roman" w:hAnsi="Times New Roman"/>
          <w:sz w:val="24"/>
          <w:szCs w:val="24"/>
        </w:rPr>
        <w:t>,</w:t>
      </w:r>
      <w:r w:rsidRPr="00F426DE">
        <w:rPr>
          <w:rFonts w:ascii="Times New Roman" w:hAnsi="Times New Roman"/>
          <w:sz w:val="24"/>
          <w:szCs w:val="24"/>
        </w:rPr>
        <w:t xml:space="preserve"> the Commission issued an order modifying the Procedural and Scheduling Order.</w:t>
      </w:r>
      <w:r w:rsidR="009C6006">
        <w:rPr>
          <w:rFonts w:ascii="Times New Roman" w:hAnsi="Times New Roman"/>
          <w:sz w:val="24"/>
          <w:szCs w:val="24"/>
        </w:rPr>
        <w:t xml:space="preserve"> </w:t>
      </w:r>
      <w:r w:rsidRPr="00F426DE">
        <w:rPr>
          <w:rFonts w:ascii="Times New Roman" w:hAnsi="Times New Roman"/>
          <w:sz w:val="24"/>
          <w:szCs w:val="24"/>
        </w:rPr>
        <w:t>On December 12, 2017</w:t>
      </w:r>
      <w:r w:rsidR="00CA0259">
        <w:rPr>
          <w:rFonts w:ascii="Times New Roman" w:hAnsi="Times New Roman"/>
          <w:sz w:val="24"/>
          <w:szCs w:val="24"/>
        </w:rPr>
        <w:t>,</w:t>
      </w:r>
      <w:r w:rsidRPr="00F426DE">
        <w:rPr>
          <w:rFonts w:ascii="Times New Roman" w:hAnsi="Times New Roman"/>
          <w:sz w:val="24"/>
          <w:szCs w:val="24"/>
        </w:rPr>
        <w:t xml:space="preserve"> the Commission issued a ruling on the question of when ex parte communication rules would take effect.  The Commission ruled that the Commission would, “keep the record open at least until the 10th of January.” (Tr. 1859).</w:t>
      </w:r>
      <w:r>
        <w:rPr>
          <w:rFonts w:ascii="Times New Roman" w:hAnsi="Times New Roman"/>
          <w:sz w:val="24"/>
          <w:szCs w:val="24"/>
        </w:rPr>
        <w:t xml:space="preserve">  </w:t>
      </w:r>
      <w:r w:rsidRPr="00F426DE">
        <w:rPr>
          <w:rFonts w:ascii="Times New Roman" w:hAnsi="Times New Roman"/>
          <w:sz w:val="24"/>
          <w:szCs w:val="24"/>
        </w:rPr>
        <w:t>In keeping with the Modified Procedural and Scheduling Order, all parties filed briefs and proposed order by 12:00pm December 19, 2017 and the Commission made a determination on this matter during its Special Administrative Session on December 21, 2017.</w:t>
      </w:r>
    </w:p>
    <w:p w:rsidR="00BF13D7" w:rsidRDefault="00BF13D7" w:rsidP="00215B57">
      <w:pPr>
        <w:ind w:firstLine="720"/>
        <w:jc w:val="both"/>
        <w:rPr>
          <w:rFonts w:ascii="Times New Roman" w:hAnsi="Times New Roman"/>
          <w:sz w:val="24"/>
          <w:szCs w:val="24"/>
        </w:rPr>
      </w:pPr>
    </w:p>
    <w:p w:rsidR="00BF13D7" w:rsidRPr="00BF13D7" w:rsidRDefault="00BF13D7" w:rsidP="00BF13D7">
      <w:pPr>
        <w:jc w:val="center"/>
        <w:rPr>
          <w:rFonts w:ascii="Times New Roman" w:hAnsi="Times New Roman"/>
          <w:b/>
          <w:sz w:val="24"/>
          <w:szCs w:val="24"/>
          <w:u w:val="single"/>
        </w:rPr>
      </w:pPr>
      <w:r w:rsidRPr="00BF13D7">
        <w:rPr>
          <w:rFonts w:ascii="Times New Roman" w:hAnsi="Times New Roman"/>
          <w:b/>
          <w:sz w:val="24"/>
          <w:szCs w:val="24"/>
        </w:rPr>
        <w:t>III.</w:t>
      </w:r>
      <w:r w:rsidRPr="00BF13D7">
        <w:rPr>
          <w:rFonts w:ascii="Times New Roman" w:hAnsi="Times New Roman"/>
          <w:b/>
          <w:sz w:val="24"/>
          <w:szCs w:val="24"/>
        </w:rPr>
        <w:tab/>
      </w:r>
      <w:r w:rsidRPr="00BF13D7">
        <w:rPr>
          <w:rFonts w:ascii="Times New Roman" w:hAnsi="Times New Roman"/>
          <w:b/>
          <w:sz w:val="24"/>
          <w:szCs w:val="24"/>
          <w:u w:val="single"/>
        </w:rPr>
        <w:t>J</w:t>
      </w:r>
      <w:r w:rsidR="00264207">
        <w:rPr>
          <w:rFonts w:ascii="Times New Roman" w:hAnsi="Times New Roman"/>
          <w:b/>
          <w:sz w:val="24"/>
          <w:szCs w:val="24"/>
          <w:u w:val="single"/>
        </w:rPr>
        <w:t>URISDICTION</w:t>
      </w:r>
    </w:p>
    <w:p w:rsidR="00BF13D7" w:rsidRPr="00BF13D7" w:rsidRDefault="00BF13D7" w:rsidP="00BF13D7">
      <w:pPr>
        <w:spacing w:line="240" w:lineRule="auto"/>
        <w:ind w:firstLine="720"/>
        <w:jc w:val="both"/>
        <w:rPr>
          <w:rFonts w:ascii="Times New Roman" w:hAnsi="Times New Roman"/>
          <w:sz w:val="24"/>
          <w:szCs w:val="24"/>
        </w:rPr>
      </w:pPr>
      <w:r w:rsidRPr="00BF13D7">
        <w:rPr>
          <w:rFonts w:ascii="Times New Roman" w:hAnsi="Times New Roman"/>
          <w:sz w:val="24"/>
          <w:szCs w:val="24"/>
        </w:rPr>
        <w:t>The Commission has general regulatory authority over electrical utilities in the state pursuant to O.C.G.A. § 46-2-20, 46-2-21 and 46-2-23.  In addition, the Commission administers the Integrated Resource Planning Act. O.C.G.A. § 46-3A-1 through 11.</w:t>
      </w:r>
    </w:p>
    <w:p w:rsidR="00BF13D7" w:rsidRPr="00BF13D7" w:rsidRDefault="00BF13D7" w:rsidP="00BF13D7">
      <w:pPr>
        <w:spacing w:line="240" w:lineRule="auto"/>
        <w:ind w:left="720" w:right="720"/>
        <w:jc w:val="both"/>
        <w:rPr>
          <w:rFonts w:ascii="Times New Roman" w:hAnsi="Times New Roman"/>
          <w:sz w:val="24"/>
          <w:szCs w:val="24"/>
        </w:rPr>
      </w:pPr>
      <w:r w:rsidRPr="00BF13D7">
        <w:rPr>
          <w:rFonts w:ascii="Times New Roman" w:hAnsi="Times New Roman"/>
          <w:sz w:val="24"/>
          <w:szCs w:val="24"/>
        </w:rPr>
        <w:tab/>
      </w:r>
    </w:p>
    <w:p w:rsidR="003B00B5" w:rsidRPr="00CA0259" w:rsidRDefault="00264207" w:rsidP="00CA0259">
      <w:pPr>
        <w:spacing w:line="240" w:lineRule="auto"/>
        <w:contextualSpacing/>
        <w:jc w:val="center"/>
        <w:rPr>
          <w:rFonts w:ascii="Times New Roman" w:hAnsi="Times New Roman"/>
          <w:b/>
          <w:sz w:val="24"/>
          <w:szCs w:val="24"/>
          <w:u w:val="single"/>
        </w:rPr>
      </w:pPr>
      <w:r>
        <w:rPr>
          <w:rFonts w:ascii="Times New Roman" w:hAnsi="Times New Roman"/>
          <w:b/>
          <w:sz w:val="24"/>
          <w:szCs w:val="24"/>
        </w:rPr>
        <w:t>I</w:t>
      </w:r>
      <w:r w:rsidR="00BF13D7" w:rsidRPr="00BF13D7">
        <w:rPr>
          <w:rFonts w:ascii="Times New Roman" w:hAnsi="Times New Roman"/>
          <w:b/>
          <w:sz w:val="24"/>
          <w:szCs w:val="24"/>
        </w:rPr>
        <w:t>V.</w:t>
      </w:r>
      <w:r w:rsidR="00BF13D7" w:rsidRPr="00BF13D7">
        <w:rPr>
          <w:rFonts w:ascii="Times New Roman" w:hAnsi="Times New Roman"/>
          <w:b/>
          <w:sz w:val="24"/>
          <w:szCs w:val="24"/>
        </w:rPr>
        <w:tab/>
      </w:r>
      <w:r w:rsidR="00F34ADB" w:rsidRPr="00CA0259">
        <w:rPr>
          <w:rFonts w:ascii="Times New Roman" w:hAnsi="Times New Roman"/>
          <w:b/>
          <w:sz w:val="24"/>
          <w:szCs w:val="24"/>
          <w:u w:val="single"/>
        </w:rPr>
        <w:t>FINDINGS OF FACT</w:t>
      </w:r>
    </w:p>
    <w:p w:rsidR="003B00B5" w:rsidRDefault="003B00B5" w:rsidP="00CA0259">
      <w:pPr>
        <w:spacing w:line="240" w:lineRule="auto"/>
        <w:contextualSpacing/>
        <w:jc w:val="center"/>
        <w:rPr>
          <w:rFonts w:ascii="Times New Roman" w:hAnsi="Times New Roman"/>
          <w:sz w:val="24"/>
          <w:szCs w:val="24"/>
        </w:rPr>
      </w:pPr>
    </w:p>
    <w:p w:rsidR="0087371D" w:rsidRPr="00215B57" w:rsidRDefault="0087371D" w:rsidP="00BF13D7">
      <w:pPr>
        <w:pStyle w:val="ListParagraph"/>
        <w:numPr>
          <w:ilvl w:val="0"/>
          <w:numId w:val="5"/>
        </w:numPr>
        <w:spacing w:line="240" w:lineRule="auto"/>
        <w:ind w:left="0" w:firstLine="0"/>
        <w:jc w:val="both"/>
        <w:rPr>
          <w:rFonts w:ascii="Times New Roman" w:hAnsi="Times New Roman" w:cs="Times New Roman"/>
          <w:sz w:val="24"/>
          <w:szCs w:val="24"/>
        </w:rPr>
      </w:pPr>
      <w:r w:rsidRPr="00215B57">
        <w:rPr>
          <w:rFonts w:ascii="Times New Roman" w:hAnsi="Times New Roman" w:cs="Times New Roman"/>
          <w:sz w:val="24"/>
          <w:szCs w:val="24"/>
        </w:rPr>
        <w:t>In its 17</w:t>
      </w:r>
      <w:r w:rsidRPr="00215B57">
        <w:rPr>
          <w:rFonts w:ascii="Times New Roman" w:hAnsi="Times New Roman" w:cs="Times New Roman"/>
          <w:sz w:val="24"/>
          <w:szCs w:val="24"/>
          <w:vertAlign w:val="superscript"/>
        </w:rPr>
        <w:t>th</w:t>
      </w:r>
      <w:r w:rsidRPr="00215B57">
        <w:rPr>
          <w:rFonts w:ascii="Times New Roman" w:hAnsi="Times New Roman" w:cs="Times New Roman"/>
          <w:sz w:val="24"/>
          <w:szCs w:val="24"/>
        </w:rPr>
        <w:t xml:space="preserve"> VCM filing, the Company requested that the Commission verify and approve the actual expenditures invested in the construction of Plant Vogtle Units 3 and 4 through June 30, 2017. (Tr. 168)  The Company has also requested approval of its spending through the end of the 17</w:t>
      </w:r>
      <w:r w:rsidRPr="00215B57">
        <w:rPr>
          <w:rFonts w:ascii="Times New Roman" w:hAnsi="Times New Roman" w:cs="Times New Roman"/>
          <w:sz w:val="24"/>
          <w:szCs w:val="24"/>
          <w:vertAlign w:val="superscript"/>
        </w:rPr>
        <w:t>th</w:t>
      </w:r>
      <w:r w:rsidRPr="00215B57">
        <w:rPr>
          <w:rFonts w:ascii="Times New Roman" w:hAnsi="Times New Roman" w:cs="Times New Roman"/>
          <w:sz w:val="24"/>
          <w:szCs w:val="24"/>
        </w:rPr>
        <w:t xml:space="preserve"> VCM period on June 30, 2017.  During this period the Company incurred an additional $542 million in expenditures for a total of $4.4 billion of capital and construction cost and $1.41 billion of financing cost for a current Total Project Cost of $5.85 billion.  (17</w:t>
      </w:r>
      <w:r w:rsidRPr="00215B57">
        <w:rPr>
          <w:rFonts w:ascii="Times New Roman" w:hAnsi="Times New Roman" w:cs="Times New Roman"/>
          <w:sz w:val="24"/>
          <w:szCs w:val="24"/>
          <w:vertAlign w:val="superscript"/>
        </w:rPr>
        <w:t>th</w:t>
      </w:r>
      <w:r w:rsidRPr="00215B57">
        <w:rPr>
          <w:rFonts w:ascii="Times New Roman" w:hAnsi="Times New Roman" w:cs="Times New Roman"/>
          <w:sz w:val="24"/>
          <w:szCs w:val="24"/>
        </w:rPr>
        <w:t xml:space="preserve"> VCM, p. 11) </w:t>
      </w:r>
    </w:p>
    <w:p w:rsidR="0087371D" w:rsidRPr="00215B57" w:rsidRDefault="0087371D" w:rsidP="00BF13D7">
      <w:pPr>
        <w:pStyle w:val="ListParagraph"/>
        <w:spacing w:line="240" w:lineRule="auto"/>
        <w:ind w:left="0"/>
        <w:jc w:val="both"/>
        <w:rPr>
          <w:rFonts w:ascii="Times New Roman" w:hAnsi="Times New Roman" w:cs="Times New Roman"/>
          <w:sz w:val="24"/>
          <w:szCs w:val="24"/>
        </w:rPr>
      </w:pPr>
    </w:p>
    <w:p w:rsidR="0087371D" w:rsidRPr="00215B57" w:rsidRDefault="0087371D" w:rsidP="00BF13D7">
      <w:pPr>
        <w:pStyle w:val="ListParagraph"/>
        <w:numPr>
          <w:ilvl w:val="0"/>
          <w:numId w:val="5"/>
        </w:numPr>
        <w:spacing w:line="240" w:lineRule="auto"/>
        <w:ind w:left="0" w:firstLine="0"/>
        <w:jc w:val="both"/>
        <w:rPr>
          <w:rFonts w:ascii="Times New Roman" w:hAnsi="Times New Roman" w:cs="Times New Roman"/>
          <w:sz w:val="24"/>
          <w:szCs w:val="24"/>
        </w:rPr>
      </w:pPr>
      <w:r w:rsidRPr="00215B57">
        <w:rPr>
          <w:rFonts w:ascii="Times New Roman" w:hAnsi="Times New Roman" w:cs="Times New Roman"/>
          <w:sz w:val="24"/>
          <w:szCs w:val="24"/>
        </w:rPr>
        <w:t>The Company makes the following five (5) requests in its filing and asks that the Commission make specific findings on the following:</w:t>
      </w:r>
    </w:p>
    <w:p w:rsidR="0087371D" w:rsidRPr="00215B57" w:rsidRDefault="0087371D" w:rsidP="00BF13D7">
      <w:pPr>
        <w:pBdr>
          <w:top w:val="nil"/>
          <w:left w:val="nil"/>
          <w:bottom w:val="nil"/>
          <w:right w:val="nil"/>
          <w:between w:val="nil"/>
          <w:bar w:val="nil"/>
        </w:pBdr>
        <w:autoSpaceDE w:val="0"/>
        <w:autoSpaceDN w:val="0"/>
        <w:adjustRightInd w:val="0"/>
        <w:snapToGrid w:val="0"/>
        <w:spacing w:after="240" w:line="240" w:lineRule="auto"/>
        <w:ind w:firstLine="720"/>
        <w:contextualSpacing/>
        <w:jc w:val="both"/>
        <w:rPr>
          <w:rFonts w:ascii="Times New Roman" w:hAnsi="Times New Roman"/>
          <w:sz w:val="24"/>
          <w:szCs w:val="24"/>
        </w:rPr>
      </w:pPr>
      <w:r w:rsidRPr="00215B57">
        <w:rPr>
          <w:rFonts w:ascii="Times New Roman" w:eastAsiaTheme="minorEastAsia" w:hAnsi="Times New Roman"/>
          <w:sz w:val="24"/>
          <w:szCs w:val="24"/>
        </w:rPr>
        <w:t>a.</w:t>
      </w:r>
      <w:r w:rsidRPr="00215B57">
        <w:rPr>
          <w:rFonts w:ascii="Times New Roman" w:eastAsiaTheme="minorEastAsia" w:hAnsi="Times New Roman"/>
          <w:sz w:val="24"/>
          <w:szCs w:val="24"/>
        </w:rPr>
        <w:tab/>
        <w:t>That pursuant to O.C.G.A. § 46-3A-7(b), the Commission in the VCM 17 proceeding approves the new cost and schedule forecast and finds that it is a reasonable basis for going forward; and that if the Commission disapproves all or part of the proposed cost and schedule revisions, the Company may cancel Units 3 and 4 and recover its actual investment in the partially completed Facility pursuant to O.C.G.A. § 46-3A-7(d). </w:t>
      </w:r>
    </w:p>
    <w:p w:rsidR="0087371D" w:rsidRPr="00215B57" w:rsidRDefault="0087371D" w:rsidP="00BF13D7">
      <w:pPr>
        <w:pBdr>
          <w:top w:val="nil"/>
          <w:left w:val="nil"/>
          <w:bottom w:val="nil"/>
          <w:right w:val="nil"/>
          <w:between w:val="nil"/>
          <w:bar w:val="nil"/>
        </w:pBdr>
        <w:autoSpaceDE w:val="0"/>
        <w:autoSpaceDN w:val="0"/>
        <w:adjustRightInd w:val="0"/>
        <w:snapToGrid w:val="0"/>
        <w:spacing w:after="240" w:line="240" w:lineRule="auto"/>
        <w:ind w:firstLine="720"/>
        <w:contextualSpacing/>
        <w:jc w:val="both"/>
        <w:rPr>
          <w:rFonts w:ascii="Times New Roman" w:eastAsiaTheme="minorEastAsia" w:hAnsi="Times New Roman"/>
          <w:sz w:val="24"/>
          <w:szCs w:val="24"/>
        </w:rPr>
      </w:pPr>
    </w:p>
    <w:p w:rsidR="0087371D" w:rsidRPr="00215B57" w:rsidRDefault="0087371D" w:rsidP="00BF13D7">
      <w:pPr>
        <w:pBdr>
          <w:top w:val="nil"/>
          <w:left w:val="nil"/>
          <w:bottom w:val="nil"/>
          <w:right w:val="nil"/>
          <w:between w:val="nil"/>
          <w:bar w:val="nil"/>
        </w:pBdr>
        <w:autoSpaceDE w:val="0"/>
        <w:autoSpaceDN w:val="0"/>
        <w:adjustRightInd w:val="0"/>
        <w:snapToGrid w:val="0"/>
        <w:spacing w:after="240" w:line="240" w:lineRule="auto"/>
        <w:ind w:firstLine="720"/>
        <w:contextualSpacing/>
        <w:jc w:val="both"/>
        <w:rPr>
          <w:rFonts w:ascii="Times New Roman" w:hAnsi="Times New Roman"/>
          <w:sz w:val="24"/>
          <w:szCs w:val="24"/>
        </w:rPr>
      </w:pPr>
      <w:r w:rsidRPr="00215B57">
        <w:rPr>
          <w:rFonts w:ascii="Times New Roman" w:eastAsiaTheme="minorEastAsia" w:hAnsi="Times New Roman"/>
          <w:sz w:val="24"/>
          <w:szCs w:val="24"/>
        </w:rPr>
        <w:t>b.</w:t>
      </w:r>
      <w:r w:rsidRPr="00215B57">
        <w:rPr>
          <w:rFonts w:ascii="Times New Roman" w:eastAsiaTheme="minorEastAsia" w:hAnsi="Times New Roman"/>
          <w:sz w:val="24"/>
          <w:szCs w:val="24"/>
        </w:rPr>
        <w:tab/>
        <w:t>That the SIR Stipulation remains in full force and effect, including the Company retaining the burden of proving all capital costs above $5.68 billion were prudent.</w:t>
      </w:r>
    </w:p>
    <w:p w:rsidR="0087371D" w:rsidRPr="00215B57" w:rsidRDefault="0087371D" w:rsidP="00BF13D7">
      <w:pPr>
        <w:pBdr>
          <w:top w:val="nil"/>
          <w:left w:val="nil"/>
          <w:bottom w:val="nil"/>
          <w:right w:val="nil"/>
          <w:between w:val="nil"/>
          <w:bar w:val="nil"/>
        </w:pBdr>
        <w:autoSpaceDE w:val="0"/>
        <w:autoSpaceDN w:val="0"/>
        <w:adjustRightInd w:val="0"/>
        <w:snapToGrid w:val="0"/>
        <w:spacing w:after="240" w:line="240" w:lineRule="auto"/>
        <w:ind w:firstLine="720"/>
        <w:contextualSpacing/>
        <w:jc w:val="both"/>
        <w:rPr>
          <w:rFonts w:ascii="Times New Roman" w:eastAsiaTheme="minorEastAsia" w:hAnsi="Times New Roman"/>
          <w:sz w:val="24"/>
          <w:szCs w:val="24"/>
        </w:rPr>
      </w:pPr>
    </w:p>
    <w:p w:rsidR="0087371D" w:rsidRPr="00215B57" w:rsidRDefault="0087371D" w:rsidP="00BF13D7">
      <w:pPr>
        <w:pBdr>
          <w:top w:val="nil"/>
          <w:left w:val="nil"/>
          <w:bottom w:val="nil"/>
          <w:right w:val="nil"/>
          <w:between w:val="nil"/>
          <w:bar w:val="nil"/>
        </w:pBdr>
        <w:autoSpaceDE w:val="0"/>
        <w:autoSpaceDN w:val="0"/>
        <w:adjustRightInd w:val="0"/>
        <w:snapToGrid w:val="0"/>
        <w:spacing w:after="240" w:line="240" w:lineRule="auto"/>
        <w:ind w:firstLine="720"/>
        <w:contextualSpacing/>
        <w:jc w:val="both"/>
        <w:rPr>
          <w:rFonts w:ascii="Times New Roman" w:hAnsi="Times New Roman"/>
          <w:sz w:val="24"/>
          <w:szCs w:val="24"/>
        </w:rPr>
      </w:pPr>
      <w:r w:rsidRPr="00215B57">
        <w:rPr>
          <w:rFonts w:ascii="Times New Roman" w:eastAsiaTheme="minorEastAsia" w:hAnsi="Times New Roman"/>
          <w:sz w:val="24"/>
          <w:szCs w:val="24"/>
        </w:rPr>
        <w:t>c.</w:t>
      </w:r>
      <w:r w:rsidRPr="00215B57">
        <w:rPr>
          <w:rFonts w:ascii="Times New Roman" w:eastAsiaTheme="minorEastAsia" w:hAnsi="Times New Roman"/>
          <w:sz w:val="24"/>
          <w:szCs w:val="24"/>
        </w:rPr>
        <w:tab/>
        <w:t>That while this Commission will make no prudence finding in the upcoming VCM 17 proceeding, nor will the certified amount be amended consistent with the Stipulation, the Commission recognizes that the certified amount is not a cap, and all costs that are approved and presumed or shown to be prudently incurred will be recoverable by Georgia Power. </w:t>
      </w:r>
    </w:p>
    <w:p w:rsidR="0087371D" w:rsidRPr="00215B57" w:rsidRDefault="0087371D" w:rsidP="00BF13D7">
      <w:pPr>
        <w:pBdr>
          <w:top w:val="nil"/>
          <w:left w:val="nil"/>
          <w:bottom w:val="nil"/>
          <w:right w:val="nil"/>
          <w:between w:val="nil"/>
          <w:bar w:val="nil"/>
        </w:pBdr>
        <w:autoSpaceDE w:val="0"/>
        <w:autoSpaceDN w:val="0"/>
        <w:adjustRightInd w:val="0"/>
        <w:snapToGrid w:val="0"/>
        <w:spacing w:after="240" w:line="240" w:lineRule="auto"/>
        <w:ind w:firstLine="720"/>
        <w:contextualSpacing/>
        <w:jc w:val="both"/>
        <w:rPr>
          <w:rFonts w:ascii="Times New Roman" w:eastAsiaTheme="minorEastAsia" w:hAnsi="Times New Roman"/>
          <w:sz w:val="24"/>
          <w:szCs w:val="24"/>
        </w:rPr>
      </w:pPr>
    </w:p>
    <w:p w:rsidR="0087371D" w:rsidRPr="00215B57" w:rsidRDefault="0087371D" w:rsidP="00BF13D7">
      <w:pPr>
        <w:pBdr>
          <w:top w:val="nil"/>
          <w:left w:val="nil"/>
          <w:bottom w:val="nil"/>
          <w:right w:val="nil"/>
          <w:between w:val="nil"/>
          <w:bar w:val="nil"/>
        </w:pBdr>
        <w:autoSpaceDE w:val="0"/>
        <w:autoSpaceDN w:val="0"/>
        <w:adjustRightInd w:val="0"/>
        <w:snapToGrid w:val="0"/>
        <w:spacing w:after="240" w:line="240" w:lineRule="auto"/>
        <w:ind w:firstLine="720"/>
        <w:contextualSpacing/>
        <w:jc w:val="both"/>
        <w:rPr>
          <w:rFonts w:ascii="Times New Roman" w:hAnsi="Times New Roman"/>
          <w:sz w:val="24"/>
          <w:szCs w:val="24"/>
        </w:rPr>
      </w:pPr>
      <w:r w:rsidRPr="00215B57">
        <w:rPr>
          <w:rFonts w:ascii="Times New Roman" w:eastAsiaTheme="minorEastAsia" w:hAnsi="Times New Roman"/>
          <w:sz w:val="24"/>
          <w:szCs w:val="24"/>
        </w:rPr>
        <w:t>d.</w:t>
      </w:r>
      <w:r w:rsidRPr="00215B57">
        <w:rPr>
          <w:rFonts w:ascii="Times New Roman" w:eastAsiaTheme="minorEastAsia" w:hAnsi="Times New Roman"/>
          <w:sz w:val="24"/>
          <w:szCs w:val="24"/>
        </w:rPr>
        <w:tab/>
        <w:t>That the Company is not a guarantor of the Toshiba Parent Guaranty, and the failure of Toshiba to pay the Toshiba Parent Guaranty, the failure of Congress to extend the PTCs, or the failure of the D</w:t>
      </w:r>
      <w:r w:rsidR="00646757">
        <w:rPr>
          <w:rFonts w:ascii="Times New Roman" w:eastAsiaTheme="minorEastAsia" w:hAnsi="Times New Roman"/>
          <w:sz w:val="24"/>
          <w:szCs w:val="24"/>
        </w:rPr>
        <w:t xml:space="preserve">epartment </w:t>
      </w:r>
      <w:r w:rsidRPr="00215B57">
        <w:rPr>
          <w:rFonts w:ascii="Times New Roman" w:eastAsiaTheme="minorEastAsia" w:hAnsi="Times New Roman"/>
          <w:sz w:val="24"/>
          <w:szCs w:val="24"/>
        </w:rPr>
        <w:t>O</w:t>
      </w:r>
      <w:r w:rsidR="00646757">
        <w:rPr>
          <w:rFonts w:ascii="Times New Roman" w:eastAsiaTheme="minorEastAsia" w:hAnsi="Times New Roman"/>
          <w:sz w:val="24"/>
          <w:szCs w:val="24"/>
        </w:rPr>
        <w:t xml:space="preserve">f </w:t>
      </w:r>
      <w:r w:rsidRPr="00215B57">
        <w:rPr>
          <w:rFonts w:ascii="Times New Roman" w:eastAsiaTheme="minorEastAsia" w:hAnsi="Times New Roman"/>
          <w:sz w:val="24"/>
          <w:szCs w:val="24"/>
        </w:rPr>
        <w:t>E</w:t>
      </w:r>
      <w:r w:rsidR="00646757">
        <w:rPr>
          <w:rFonts w:ascii="Times New Roman" w:eastAsiaTheme="minorEastAsia" w:hAnsi="Times New Roman"/>
          <w:sz w:val="24"/>
          <w:szCs w:val="24"/>
        </w:rPr>
        <w:t>nergy (“DOE”)</w:t>
      </w:r>
      <w:r w:rsidRPr="00215B57">
        <w:rPr>
          <w:rFonts w:ascii="Times New Roman" w:eastAsiaTheme="minorEastAsia" w:hAnsi="Times New Roman"/>
          <w:sz w:val="24"/>
          <w:szCs w:val="24"/>
        </w:rPr>
        <w:t xml:space="preserve"> to extend the DOE Loan Guarantees to reflect the increased capital amounts, will not reduce the amount of investment the Company is otherwise allowed to collect. </w:t>
      </w:r>
    </w:p>
    <w:p w:rsidR="0087371D" w:rsidRPr="00215B57" w:rsidRDefault="0087371D" w:rsidP="00BF13D7">
      <w:pPr>
        <w:pBdr>
          <w:top w:val="nil"/>
          <w:left w:val="nil"/>
          <w:bottom w:val="nil"/>
          <w:right w:val="nil"/>
          <w:between w:val="nil"/>
          <w:bar w:val="nil"/>
        </w:pBdr>
        <w:autoSpaceDE w:val="0"/>
        <w:autoSpaceDN w:val="0"/>
        <w:adjustRightInd w:val="0"/>
        <w:snapToGrid w:val="0"/>
        <w:spacing w:after="240" w:line="240" w:lineRule="auto"/>
        <w:ind w:firstLine="720"/>
        <w:contextualSpacing/>
        <w:jc w:val="both"/>
        <w:rPr>
          <w:rFonts w:ascii="Times New Roman" w:eastAsiaTheme="minorEastAsia" w:hAnsi="Times New Roman"/>
          <w:sz w:val="24"/>
          <w:szCs w:val="24"/>
        </w:rPr>
      </w:pPr>
    </w:p>
    <w:p w:rsidR="0087371D" w:rsidRPr="00215B57" w:rsidRDefault="0087371D" w:rsidP="00BF13D7">
      <w:pPr>
        <w:pBdr>
          <w:top w:val="nil"/>
          <w:left w:val="nil"/>
          <w:bottom w:val="nil"/>
          <w:right w:val="nil"/>
          <w:between w:val="nil"/>
          <w:bar w:val="nil"/>
        </w:pBdr>
        <w:autoSpaceDE w:val="0"/>
        <w:autoSpaceDN w:val="0"/>
        <w:adjustRightInd w:val="0"/>
        <w:snapToGrid w:val="0"/>
        <w:spacing w:after="240" w:line="240" w:lineRule="auto"/>
        <w:ind w:firstLine="720"/>
        <w:contextualSpacing/>
        <w:jc w:val="both"/>
        <w:rPr>
          <w:rFonts w:ascii="Times New Roman" w:eastAsiaTheme="minorEastAsia" w:hAnsi="Times New Roman"/>
          <w:sz w:val="24"/>
          <w:szCs w:val="24"/>
        </w:rPr>
      </w:pPr>
      <w:r w:rsidRPr="00215B57">
        <w:rPr>
          <w:rFonts w:ascii="Times New Roman" w:eastAsiaTheme="minorEastAsia" w:hAnsi="Times New Roman"/>
          <w:sz w:val="24"/>
          <w:szCs w:val="24"/>
        </w:rPr>
        <w:t>e.</w:t>
      </w:r>
      <w:r w:rsidRPr="00215B57">
        <w:rPr>
          <w:rFonts w:ascii="Times New Roman" w:eastAsiaTheme="minorEastAsia" w:hAnsi="Times New Roman"/>
          <w:sz w:val="24"/>
          <w:szCs w:val="24"/>
        </w:rPr>
        <w:tab/>
        <w:t>That as conditions change and assumptions are either proven or disproven, the Owners and the Commission may reconsider the decision to go forward. </w:t>
      </w:r>
    </w:p>
    <w:p w:rsidR="0087371D" w:rsidRPr="00CA0259" w:rsidRDefault="00EF5C67" w:rsidP="00BF13D7">
      <w:pPr>
        <w:pStyle w:val="PSCAnswer"/>
        <w:jc w:val="both"/>
        <w:rPr>
          <w:rStyle w:val="eop"/>
          <w:rFonts w:eastAsiaTheme="majorEastAsia"/>
        </w:rPr>
      </w:pPr>
      <w:r w:rsidRPr="00CA0259">
        <w:rPr>
          <w:rStyle w:val="normaltextrun1"/>
        </w:rPr>
        <w:t>3.</w:t>
      </w:r>
      <w:r w:rsidRPr="00CA0259">
        <w:rPr>
          <w:rStyle w:val="normaltextrun1"/>
        </w:rPr>
        <w:tab/>
        <w:t>In the alternative, the Company recommended that the Commission cancel the Project and allow the Company to fully recover its prudently incurred investment in the partially completed Facility, along with the cost of carrying the unamortized balance of that investment if the Commission disagreed with any of the above assumptions at any time.</w:t>
      </w:r>
      <w:r w:rsidRPr="00CA0259">
        <w:rPr>
          <w:rStyle w:val="eop"/>
          <w:rFonts w:eastAsiaTheme="majorEastAsia"/>
        </w:rPr>
        <w:t xml:space="preserve"> (Tr. 123-125) </w:t>
      </w:r>
    </w:p>
    <w:p w:rsidR="0087371D" w:rsidRPr="00215B57" w:rsidRDefault="0087371D" w:rsidP="00BF13D7">
      <w:pPr>
        <w:pStyle w:val="PSCAnswer"/>
        <w:jc w:val="both"/>
        <w:rPr>
          <w:rStyle w:val="eop"/>
          <w:rFonts w:eastAsiaTheme="majorEastAsia"/>
          <w:b/>
        </w:rPr>
      </w:pPr>
    </w:p>
    <w:p w:rsidR="0087371D" w:rsidRPr="00215B57" w:rsidRDefault="00215B57" w:rsidP="00BF13D7">
      <w:pPr>
        <w:tabs>
          <w:tab w:val="left" w:pos="-720"/>
        </w:tabs>
        <w:suppressAutoHyphens/>
        <w:spacing w:line="240" w:lineRule="auto"/>
        <w:contextualSpacing/>
        <w:jc w:val="both"/>
        <w:rPr>
          <w:rFonts w:ascii="Times New Roman" w:hAnsi="Times New Roman"/>
          <w:sz w:val="24"/>
          <w:szCs w:val="24"/>
        </w:rPr>
      </w:pPr>
      <w:r>
        <w:rPr>
          <w:rStyle w:val="eop"/>
          <w:rFonts w:ascii="Times New Roman" w:eastAsiaTheme="majorEastAsia" w:hAnsi="Times New Roman"/>
          <w:sz w:val="24"/>
          <w:szCs w:val="24"/>
        </w:rPr>
        <w:t>4</w:t>
      </w:r>
      <w:r w:rsidR="0087371D" w:rsidRPr="00215B57">
        <w:rPr>
          <w:rStyle w:val="eop"/>
          <w:rFonts w:ascii="Times New Roman" w:eastAsiaTheme="majorEastAsia" w:hAnsi="Times New Roman"/>
          <w:sz w:val="24"/>
          <w:szCs w:val="24"/>
        </w:rPr>
        <w:t>.</w:t>
      </w:r>
      <w:r w:rsidR="0087371D" w:rsidRPr="00215B57">
        <w:rPr>
          <w:rStyle w:val="eop"/>
          <w:rFonts w:ascii="Times New Roman" w:eastAsiaTheme="majorEastAsia" w:hAnsi="Times New Roman"/>
          <w:sz w:val="24"/>
          <w:szCs w:val="24"/>
        </w:rPr>
        <w:tab/>
      </w:r>
      <w:r w:rsidR="0087371D" w:rsidRPr="00215B57">
        <w:rPr>
          <w:rFonts w:ascii="Times New Roman" w:hAnsi="Times New Roman"/>
          <w:sz w:val="24"/>
          <w:szCs w:val="24"/>
        </w:rPr>
        <w:t>The cost forecast presented by the Company in its 17th VCM Report assumes a 68</w:t>
      </w:r>
      <w:r w:rsidR="00C107B8">
        <w:rPr>
          <w:rFonts w:ascii="Times New Roman" w:hAnsi="Times New Roman"/>
          <w:sz w:val="24"/>
          <w:szCs w:val="24"/>
        </w:rPr>
        <w:t>-</w:t>
      </w:r>
      <w:r w:rsidR="0087371D" w:rsidRPr="00215B57">
        <w:rPr>
          <w:rFonts w:ascii="Times New Roman" w:hAnsi="Times New Roman"/>
          <w:sz w:val="24"/>
          <w:szCs w:val="24"/>
        </w:rPr>
        <w:t xml:space="preserve"> month delay to both Units and maintains a twelve-month gap between the </w:t>
      </w:r>
      <w:r w:rsidR="00646757">
        <w:rPr>
          <w:rFonts w:ascii="Times New Roman" w:hAnsi="Times New Roman"/>
          <w:sz w:val="24"/>
          <w:szCs w:val="24"/>
        </w:rPr>
        <w:t>U</w:t>
      </w:r>
      <w:r w:rsidR="00646757" w:rsidRPr="00215B57">
        <w:rPr>
          <w:rFonts w:ascii="Times New Roman" w:hAnsi="Times New Roman"/>
          <w:sz w:val="24"/>
          <w:szCs w:val="24"/>
        </w:rPr>
        <w:t>nits</w:t>
      </w:r>
      <w:r w:rsidR="0087371D" w:rsidRPr="00215B57">
        <w:rPr>
          <w:rFonts w:ascii="Times New Roman" w:hAnsi="Times New Roman"/>
          <w:sz w:val="24"/>
          <w:szCs w:val="24"/>
        </w:rPr>
        <w:t xml:space="preserve">. Consequently, the Company’s target in-service dates for Units 3 and 4 are November 2021 and 2022 respectively. (Tr. 143) The Company’s new forecast for Project construction and capital costs is now $8.77 billion, and the new total revised cost is $12.2 billion, double what this Commission approved in 2009. (Tr. 142, 205)  PIAS corrected this amount to $10.5 billion to account for the $1.7 billion Toshiba </w:t>
      </w:r>
      <w:r w:rsidR="00646757">
        <w:rPr>
          <w:rFonts w:ascii="Times New Roman" w:hAnsi="Times New Roman"/>
          <w:sz w:val="24"/>
          <w:szCs w:val="24"/>
        </w:rPr>
        <w:t xml:space="preserve">Parental </w:t>
      </w:r>
      <w:r w:rsidR="0087371D" w:rsidRPr="00215B57">
        <w:rPr>
          <w:rFonts w:ascii="Times New Roman" w:hAnsi="Times New Roman"/>
          <w:sz w:val="24"/>
          <w:szCs w:val="24"/>
        </w:rPr>
        <w:t>Guarantee, which the Company’s figure failed to consider.  (</w:t>
      </w:r>
      <w:r w:rsidR="00AE34F2">
        <w:rPr>
          <w:rFonts w:ascii="Times New Roman" w:hAnsi="Times New Roman"/>
          <w:sz w:val="24"/>
          <w:szCs w:val="24"/>
        </w:rPr>
        <w:t>Tr. 1826</w:t>
      </w:r>
      <w:r w:rsidR="0087371D" w:rsidRPr="00215B57">
        <w:rPr>
          <w:rFonts w:ascii="Times New Roman" w:hAnsi="Times New Roman"/>
          <w:sz w:val="24"/>
          <w:szCs w:val="24"/>
        </w:rPr>
        <w:t>).</w:t>
      </w:r>
    </w:p>
    <w:p w:rsidR="00215B57" w:rsidRDefault="00215B57" w:rsidP="00BF13D7">
      <w:pPr>
        <w:spacing w:line="240" w:lineRule="auto"/>
        <w:contextualSpacing/>
        <w:jc w:val="both"/>
        <w:rPr>
          <w:rFonts w:ascii="Times New Roman" w:hAnsi="Times New Roman"/>
          <w:sz w:val="24"/>
          <w:szCs w:val="24"/>
        </w:rPr>
      </w:pPr>
    </w:p>
    <w:p w:rsidR="0087371D" w:rsidRDefault="00215B57" w:rsidP="00BF13D7">
      <w:pPr>
        <w:spacing w:line="240" w:lineRule="auto"/>
        <w:contextualSpacing/>
        <w:jc w:val="both"/>
        <w:rPr>
          <w:rFonts w:ascii="Times New Roman" w:hAnsi="Times New Roman"/>
          <w:sz w:val="24"/>
          <w:szCs w:val="24"/>
        </w:rPr>
      </w:pPr>
      <w:r>
        <w:rPr>
          <w:rFonts w:ascii="Times New Roman" w:hAnsi="Times New Roman"/>
          <w:sz w:val="24"/>
          <w:szCs w:val="24"/>
        </w:rPr>
        <w:t>5</w:t>
      </w:r>
      <w:r w:rsidR="0087371D" w:rsidRPr="00215B57">
        <w:rPr>
          <w:rFonts w:ascii="Times New Roman" w:hAnsi="Times New Roman"/>
          <w:sz w:val="24"/>
          <w:szCs w:val="24"/>
        </w:rPr>
        <w:t>.</w:t>
      </w:r>
      <w:r w:rsidR="0087371D" w:rsidRPr="00215B57">
        <w:rPr>
          <w:rFonts w:ascii="Times New Roman" w:hAnsi="Times New Roman"/>
          <w:sz w:val="24"/>
          <w:szCs w:val="24"/>
        </w:rPr>
        <w:tab/>
        <w:t>The Commission finds that the question to be determined in this proceeding is not merely whether the cost and schedule forecasts provided by the Company present reasonable estimates, but whether those costs (capital and schedule related) are reasonably allocated between ratepayers and the Company’s shareholders.  Given the concerns regarding the performance of the Company and its contractor to date, including cost overruns and the inability to meet previously submitted schedules for commercial operation, the Commission finds that it is not appropriate to allocate all of the Company’s forecast cost increase to ratepayers.  As described in more detail herein, the Commission finds that a portion of such costs are unreasonable and should more fairly be borne by the Company. In addition, the Commission finds that certain costs should be modified from the Company’s request.</w:t>
      </w:r>
    </w:p>
    <w:p w:rsidR="00215B57" w:rsidRDefault="00215B57" w:rsidP="00BF13D7">
      <w:pPr>
        <w:spacing w:line="240" w:lineRule="auto"/>
        <w:contextualSpacing/>
        <w:jc w:val="both"/>
        <w:rPr>
          <w:rFonts w:ascii="Times New Roman" w:hAnsi="Times New Roman"/>
          <w:sz w:val="24"/>
          <w:szCs w:val="24"/>
        </w:rPr>
      </w:pPr>
    </w:p>
    <w:p w:rsidR="003B00B5" w:rsidRDefault="00215B57" w:rsidP="00BF13D7">
      <w:pPr>
        <w:spacing w:line="240" w:lineRule="auto"/>
        <w:jc w:val="center"/>
        <w:rPr>
          <w:rFonts w:ascii="Times New Roman" w:hAnsi="Times New Roman"/>
          <w:b/>
          <w:sz w:val="24"/>
          <w:szCs w:val="24"/>
          <w:u w:val="single"/>
        </w:rPr>
      </w:pPr>
      <w:r>
        <w:rPr>
          <w:rFonts w:ascii="Times New Roman" w:hAnsi="Times New Roman"/>
          <w:b/>
          <w:sz w:val="24"/>
          <w:szCs w:val="24"/>
          <w:u w:val="single"/>
        </w:rPr>
        <w:t>The cost and schedule contingency requested by the Company should be modified</w:t>
      </w:r>
      <w:r w:rsidR="00BF13D7">
        <w:rPr>
          <w:rFonts w:ascii="Times New Roman" w:hAnsi="Times New Roman"/>
          <w:b/>
          <w:sz w:val="24"/>
          <w:szCs w:val="24"/>
          <w:u w:val="single"/>
        </w:rPr>
        <w:t>.</w:t>
      </w:r>
    </w:p>
    <w:p w:rsidR="00215B57" w:rsidRPr="00E025BE" w:rsidRDefault="00215B57" w:rsidP="00BF13D7">
      <w:pPr>
        <w:spacing w:line="240" w:lineRule="auto"/>
        <w:jc w:val="both"/>
        <w:rPr>
          <w:rFonts w:ascii="Times New Roman" w:hAnsi="Times New Roman"/>
          <w:sz w:val="24"/>
          <w:szCs w:val="24"/>
        </w:rPr>
      </w:pPr>
      <w:r>
        <w:rPr>
          <w:rFonts w:ascii="Times New Roman" w:hAnsi="Times New Roman"/>
          <w:sz w:val="24"/>
          <w:szCs w:val="24"/>
        </w:rPr>
        <w:t>6</w:t>
      </w:r>
      <w:r w:rsidRPr="00E025BE">
        <w:rPr>
          <w:rFonts w:ascii="Times New Roman" w:hAnsi="Times New Roman"/>
          <w:sz w:val="24"/>
          <w:szCs w:val="24"/>
        </w:rPr>
        <w:t>.</w:t>
      </w:r>
      <w:r w:rsidRPr="00E025BE">
        <w:rPr>
          <w:rFonts w:ascii="Times New Roman" w:hAnsi="Times New Roman"/>
          <w:sz w:val="24"/>
          <w:szCs w:val="24"/>
        </w:rPr>
        <w:tab/>
        <w:t>The Company considers the difference between the +</w:t>
      </w:r>
      <w:r w:rsidR="00F34ADB">
        <w:rPr>
          <w:rFonts w:ascii="Times New Roman" w:hAnsi="Times New Roman"/>
          <w:sz w:val="24"/>
          <w:szCs w:val="24"/>
        </w:rPr>
        <w:t>60</w:t>
      </w:r>
      <w:r w:rsidRPr="00E025BE">
        <w:rPr>
          <w:rFonts w:ascii="Times New Roman" w:hAnsi="Times New Roman"/>
          <w:sz w:val="24"/>
          <w:szCs w:val="24"/>
        </w:rPr>
        <w:t xml:space="preserve">-month schedule and the + </w:t>
      </w:r>
      <w:r w:rsidR="00F34ADB">
        <w:rPr>
          <w:rFonts w:ascii="Times New Roman" w:hAnsi="Times New Roman"/>
          <w:sz w:val="24"/>
          <w:szCs w:val="24"/>
        </w:rPr>
        <w:t>68</w:t>
      </w:r>
      <w:r w:rsidRPr="00E025BE">
        <w:rPr>
          <w:rFonts w:ascii="Times New Roman" w:hAnsi="Times New Roman"/>
          <w:sz w:val="24"/>
          <w:szCs w:val="24"/>
        </w:rPr>
        <w:t xml:space="preserve">-month schedule to be schedule contingency.  </w:t>
      </w:r>
      <w:r>
        <w:rPr>
          <w:rFonts w:ascii="Times New Roman" w:hAnsi="Times New Roman"/>
          <w:sz w:val="24"/>
          <w:szCs w:val="24"/>
        </w:rPr>
        <w:t xml:space="preserve">The Company has included a total contingency cost of $1.159 as part of its revised cost estimate. (Tr. 1498) </w:t>
      </w:r>
      <w:r w:rsidRPr="006C0446">
        <w:rPr>
          <w:rFonts w:ascii="Times New Roman" w:hAnsi="Times New Roman"/>
          <w:sz w:val="24"/>
          <w:szCs w:val="24"/>
        </w:rPr>
        <w:t>Whether or not this amount of contingency is sufficient to account for the assumptions and risks identified for the Project cannot be determined at this time.</w:t>
      </w:r>
      <w:r w:rsidRPr="00E025BE">
        <w:rPr>
          <w:rFonts w:ascii="Times New Roman" w:hAnsi="Times New Roman"/>
          <w:sz w:val="24"/>
          <w:szCs w:val="24"/>
        </w:rPr>
        <w:t xml:space="preserve"> The ratepayers should have the benefit of the best achievable schedule, and the risks associated with </w:t>
      </w:r>
      <w:r>
        <w:rPr>
          <w:rFonts w:ascii="Times New Roman" w:hAnsi="Times New Roman"/>
          <w:sz w:val="24"/>
          <w:szCs w:val="24"/>
        </w:rPr>
        <w:t>eight</w:t>
      </w:r>
      <w:r w:rsidRPr="00E025BE">
        <w:rPr>
          <w:rFonts w:ascii="Times New Roman" w:hAnsi="Times New Roman"/>
          <w:sz w:val="24"/>
          <w:szCs w:val="24"/>
        </w:rPr>
        <w:t xml:space="preserve"> additional months of construction under the Company’s regulatory schedule contingency should remain with the Company at this time and should not be shifted to ratepayers. Whether or not this amount of contingency is sufficient to account for the assumptions and risks identified for the Project cannot be determined at this time.</w:t>
      </w:r>
    </w:p>
    <w:p w:rsidR="00215B57" w:rsidRDefault="00215B57" w:rsidP="00BF13D7">
      <w:pPr>
        <w:spacing w:line="240" w:lineRule="auto"/>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The</w:t>
      </w:r>
      <w:r w:rsidRPr="00E025BE">
        <w:rPr>
          <w:rFonts w:ascii="Times New Roman" w:hAnsi="Times New Roman"/>
          <w:sz w:val="24"/>
          <w:szCs w:val="24"/>
        </w:rPr>
        <w:t xml:space="preserve"> cost and schedule contingency </w:t>
      </w:r>
      <w:r>
        <w:rPr>
          <w:rFonts w:ascii="Times New Roman" w:hAnsi="Times New Roman"/>
          <w:sz w:val="24"/>
          <w:szCs w:val="24"/>
        </w:rPr>
        <w:t>can</w:t>
      </w:r>
      <w:r w:rsidRPr="00E025BE">
        <w:rPr>
          <w:rFonts w:ascii="Times New Roman" w:hAnsi="Times New Roman"/>
          <w:sz w:val="24"/>
          <w:szCs w:val="24"/>
        </w:rPr>
        <w:t xml:space="preserve">not </w:t>
      </w:r>
      <w:r>
        <w:rPr>
          <w:rFonts w:ascii="Times New Roman" w:hAnsi="Times New Roman"/>
          <w:sz w:val="24"/>
          <w:szCs w:val="24"/>
        </w:rPr>
        <w:t xml:space="preserve">be shown to be </w:t>
      </w:r>
      <w:r w:rsidRPr="00E025BE">
        <w:rPr>
          <w:rFonts w:ascii="Times New Roman" w:hAnsi="Times New Roman"/>
          <w:sz w:val="24"/>
          <w:szCs w:val="24"/>
        </w:rPr>
        <w:t>reasonable</w:t>
      </w:r>
      <w:r>
        <w:rPr>
          <w:rFonts w:ascii="Times New Roman" w:hAnsi="Times New Roman"/>
          <w:sz w:val="24"/>
          <w:szCs w:val="24"/>
        </w:rPr>
        <w:t xml:space="preserve"> </w:t>
      </w:r>
      <w:r w:rsidRPr="00E025BE">
        <w:rPr>
          <w:rFonts w:ascii="Times New Roman" w:hAnsi="Times New Roman"/>
          <w:sz w:val="24"/>
          <w:szCs w:val="24"/>
        </w:rPr>
        <w:t>at this time</w:t>
      </w:r>
      <w:r>
        <w:rPr>
          <w:rFonts w:ascii="Times New Roman" w:hAnsi="Times New Roman"/>
          <w:sz w:val="24"/>
          <w:szCs w:val="24"/>
        </w:rPr>
        <w:t xml:space="preserve">, </w:t>
      </w:r>
      <w:r w:rsidRPr="00CA776C">
        <w:rPr>
          <w:rFonts w:ascii="Times New Roman" w:hAnsi="Times New Roman"/>
          <w:sz w:val="24"/>
          <w:szCs w:val="24"/>
        </w:rPr>
        <w:t>given that they have not yet been identified or spent.</w:t>
      </w:r>
      <w:r w:rsidRPr="00E025BE">
        <w:rPr>
          <w:rFonts w:ascii="Times New Roman" w:hAnsi="Times New Roman"/>
          <w:sz w:val="24"/>
          <w:szCs w:val="24"/>
        </w:rPr>
        <w:t xml:space="preserve"> The </w:t>
      </w:r>
      <w:r>
        <w:rPr>
          <w:rFonts w:ascii="Times New Roman" w:hAnsi="Times New Roman"/>
          <w:sz w:val="24"/>
          <w:szCs w:val="24"/>
        </w:rPr>
        <w:t xml:space="preserve">reasonableness of the </w:t>
      </w:r>
      <w:r w:rsidRPr="00E025BE">
        <w:rPr>
          <w:rFonts w:ascii="Times New Roman" w:hAnsi="Times New Roman"/>
          <w:sz w:val="24"/>
          <w:szCs w:val="24"/>
        </w:rPr>
        <w:t xml:space="preserve">contingency will be better decided at a later date when there is information pertaining to what those costs were spent on.  </w:t>
      </w:r>
    </w:p>
    <w:p w:rsidR="00215B57" w:rsidRPr="00E025BE" w:rsidRDefault="00215B57" w:rsidP="00BF13D7">
      <w:pPr>
        <w:spacing w:line="240" w:lineRule="auto"/>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E025BE">
        <w:rPr>
          <w:rFonts w:ascii="Times New Roman" w:hAnsi="Times New Roman"/>
          <w:sz w:val="24"/>
          <w:szCs w:val="24"/>
        </w:rPr>
        <w:t xml:space="preserve">Deciding the reasonableness of the contingency at a later date does not </w:t>
      </w:r>
      <w:r>
        <w:rPr>
          <w:rFonts w:ascii="Times New Roman" w:hAnsi="Times New Roman"/>
          <w:sz w:val="24"/>
          <w:szCs w:val="24"/>
        </w:rPr>
        <w:t>necessarily preclude</w:t>
      </w:r>
      <w:r w:rsidRPr="00E025BE">
        <w:rPr>
          <w:rFonts w:ascii="Times New Roman" w:hAnsi="Times New Roman"/>
          <w:sz w:val="24"/>
          <w:szCs w:val="24"/>
        </w:rPr>
        <w:t xml:space="preserve"> the </w:t>
      </w:r>
      <w:r>
        <w:rPr>
          <w:rFonts w:ascii="Times New Roman" w:hAnsi="Times New Roman"/>
          <w:sz w:val="24"/>
          <w:szCs w:val="24"/>
        </w:rPr>
        <w:t>C</w:t>
      </w:r>
      <w:r w:rsidRPr="00E025BE">
        <w:rPr>
          <w:rFonts w:ascii="Times New Roman" w:hAnsi="Times New Roman"/>
          <w:sz w:val="24"/>
          <w:szCs w:val="24"/>
        </w:rPr>
        <w:t xml:space="preserve">ompany from </w:t>
      </w:r>
      <w:r>
        <w:rPr>
          <w:rFonts w:ascii="Times New Roman" w:hAnsi="Times New Roman"/>
          <w:sz w:val="24"/>
          <w:szCs w:val="24"/>
        </w:rPr>
        <w:t xml:space="preserve">recovery of </w:t>
      </w:r>
      <w:r w:rsidRPr="00E025BE">
        <w:rPr>
          <w:rFonts w:ascii="Times New Roman" w:hAnsi="Times New Roman"/>
          <w:sz w:val="24"/>
          <w:szCs w:val="24"/>
        </w:rPr>
        <w:t xml:space="preserve">these costs. </w:t>
      </w:r>
      <w:r>
        <w:rPr>
          <w:rFonts w:ascii="Times New Roman" w:hAnsi="Times New Roman"/>
          <w:sz w:val="24"/>
          <w:szCs w:val="24"/>
        </w:rPr>
        <w:t>Such costs may represent</w:t>
      </w:r>
      <w:r w:rsidRPr="00E025BE">
        <w:rPr>
          <w:rFonts w:ascii="Times New Roman" w:hAnsi="Times New Roman"/>
          <w:sz w:val="24"/>
          <w:szCs w:val="24"/>
        </w:rPr>
        <w:t xml:space="preserve"> a change in scope that is perfectly legitimate</w:t>
      </w:r>
      <w:r>
        <w:rPr>
          <w:rFonts w:ascii="Times New Roman" w:hAnsi="Times New Roman"/>
          <w:sz w:val="24"/>
          <w:szCs w:val="24"/>
        </w:rPr>
        <w:t>.</w:t>
      </w:r>
      <w:r w:rsidRPr="00CA776C">
        <w:rPr>
          <w:rFonts w:ascii="Times New Roman" w:hAnsi="Times New Roman"/>
          <w:sz w:val="24"/>
          <w:szCs w:val="24"/>
        </w:rPr>
        <w:t xml:space="preserve"> </w:t>
      </w:r>
      <w:r w:rsidRPr="00E025BE">
        <w:rPr>
          <w:rFonts w:ascii="Times New Roman" w:hAnsi="Times New Roman"/>
          <w:sz w:val="24"/>
          <w:szCs w:val="24"/>
        </w:rPr>
        <w:t xml:space="preserve">(Tr. 1569) </w:t>
      </w:r>
      <w:r>
        <w:rPr>
          <w:rFonts w:ascii="Times New Roman" w:hAnsi="Times New Roman"/>
          <w:sz w:val="24"/>
          <w:szCs w:val="24"/>
        </w:rPr>
        <w:t>Modification of the Company’s cost and schedule contingency at this time still affords the</w:t>
      </w:r>
      <w:r w:rsidRPr="00E025BE">
        <w:rPr>
          <w:rFonts w:ascii="Times New Roman" w:hAnsi="Times New Roman"/>
          <w:sz w:val="24"/>
          <w:szCs w:val="24"/>
        </w:rPr>
        <w:t xml:space="preserve"> </w:t>
      </w:r>
      <w:r>
        <w:rPr>
          <w:rFonts w:ascii="Times New Roman" w:hAnsi="Times New Roman"/>
          <w:sz w:val="24"/>
          <w:szCs w:val="24"/>
        </w:rPr>
        <w:t>C</w:t>
      </w:r>
      <w:r w:rsidRPr="00E025BE">
        <w:rPr>
          <w:rFonts w:ascii="Times New Roman" w:hAnsi="Times New Roman"/>
          <w:sz w:val="24"/>
          <w:szCs w:val="24"/>
        </w:rPr>
        <w:t xml:space="preserve">ompany the opportunity to </w:t>
      </w:r>
      <w:r>
        <w:rPr>
          <w:rFonts w:ascii="Times New Roman" w:hAnsi="Times New Roman"/>
          <w:sz w:val="24"/>
          <w:szCs w:val="24"/>
        </w:rPr>
        <w:t xml:space="preserve">request recovery of such costs </w:t>
      </w:r>
      <w:r w:rsidR="00646757">
        <w:rPr>
          <w:rFonts w:ascii="Times New Roman" w:hAnsi="Times New Roman"/>
          <w:sz w:val="24"/>
          <w:szCs w:val="24"/>
        </w:rPr>
        <w:t xml:space="preserve">if shown to be reasonable and prudent </w:t>
      </w:r>
      <w:r>
        <w:rPr>
          <w:rFonts w:ascii="Times New Roman" w:hAnsi="Times New Roman"/>
          <w:sz w:val="24"/>
          <w:szCs w:val="24"/>
        </w:rPr>
        <w:t xml:space="preserve">after such costs have actually been identified and spent. </w:t>
      </w:r>
    </w:p>
    <w:p w:rsidR="00215B57" w:rsidRPr="0086218E" w:rsidRDefault="00215B57" w:rsidP="00BF13D7">
      <w:pPr>
        <w:tabs>
          <w:tab w:val="left" w:pos="-720"/>
        </w:tabs>
        <w:suppressAutoHyphens/>
        <w:spacing w:line="240" w:lineRule="auto"/>
        <w:jc w:val="both"/>
        <w:rPr>
          <w:rFonts w:ascii="Times New Roman" w:hAnsi="Times New Roman"/>
          <w:sz w:val="24"/>
          <w:szCs w:val="24"/>
        </w:rPr>
      </w:pPr>
      <w:r>
        <w:rPr>
          <w:rFonts w:ascii="Times New Roman" w:hAnsi="Times New Roman"/>
          <w:sz w:val="24"/>
          <w:szCs w:val="24"/>
        </w:rPr>
        <w:t>9</w:t>
      </w:r>
      <w:r w:rsidRPr="0086218E">
        <w:rPr>
          <w:rFonts w:ascii="Times New Roman" w:hAnsi="Times New Roman"/>
          <w:sz w:val="24"/>
          <w:szCs w:val="24"/>
        </w:rPr>
        <w:t>.</w:t>
      </w:r>
      <w:r w:rsidRPr="0086218E">
        <w:rPr>
          <w:rFonts w:ascii="Times New Roman" w:hAnsi="Times New Roman"/>
          <w:sz w:val="24"/>
          <w:szCs w:val="24"/>
        </w:rPr>
        <w:tab/>
        <w:t xml:space="preserve">The modification of contingencies from the Company’s request is consistent with the Commission’s treatment of contingencies in the certification proceeding under Docket No. 27800. (Tr. 1503)  </w:t>
      </w:r>
      <w:r>
        <w:rPr>
          <w:rFonts w:ascii="Times New Roman" w:hAnsi="Times New Roman"/>
          <w:kern w:val="2"/>
          <w:sz w:val="24"/>
          <w:szCs w:val="24"/>
        </w:rPr>
        <w:t>Further, the Company cannot</w:t>
      </w:r>
      <w:r w:rsidRPr="0086218E">
        <w:rPr>
          <w:rFonts w:ascii="Times New Roman" w:hAnsi="Times New Roman"/>
          <w:kern w:val="2"/>
          <w:sz w:val="24"/>
          <w:szCs w:val="24"/>
        </w:rPr>
        <w:t xml:space="preserve"> meet its burden of proof on the reasonableness of these contingency costs if </w:t>
      </w:r>
      <w:r>
        <w:rPr>
          <w:rFonts w:ascii="Times New Roman" w:hAnsi="Times New Roman"/>
          <w:kern w:val="2"/>
          <w:sz w:val="24"/>
          <w:szCs w:val="24"/>
        </w:rPr>
        <w:t xml:space="preserve">the Company is unable at this time to identify what those costs will be spent on or when such costs will be spent. (Tr. 1774) </w:t>
      </w:r>
    </w:p>
    <w:p w:rsidR="00215B57" w:rsidRDefault="00215B57" w:rsidP="00BF13D7">
      <w:pPr>
        <w:spacing w:line="240" w:lineRule="auto"/>
        <w:jc w:val="center"/>
        <w:rPr>
          <w:rFonts w:ascii="Times New Roman" w:hAnsi="Times New Roman"/>
          <w:b/>
          <w:sz w:val="24"/>
          <w:szCs w:val="24"/>
          <w:u w:val="single"/>
        </w:rPr>
      </w:pPr>
      <w:r>
        <w:rPr>
          <w:rFonts w:ascii="Times New Roman" w:hAnsi="Times New Roman"/>
          <w:b/>
          <w:sz w:val="24"/>
          <w:szCs w:val="24"/>
          <w:u w:val="single"/>
        </w:rPr>
        <w:t>Costs above the certified amount should not be verified and approved</w:t>
      </w:r>
    </w:p>
    <w:p w:rsidR="00215B57" w:rsidRPr="00186FFE" w:rsidRDefault="00215B57" w:rsidP="00BF13D7">
      <w:pPr>
        <w:spacing w:line="240" w:lineRule="auto"/>
        <w:jc w:val="both"/>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E025BE">
        <w:rPr>
          <w:rFonts w:ascii="Times New Roman" w:hAnsi="Times New Roman"/>
          <w:sz w:val="24"/>
          <w:szCs w:val="24"/>
        </w:rPr>
        <w:t xml:space="preserve">The certified capital construction cost </w:t>
      </w:r>
      <w:r>
        <w:rPr>
          <w:rFonts w:ascii="Times New Roman" w:hAnsi="Times New Roman"/>
          <w:sz w:val="24"/>
          <w:szCs w:val="24"/>
        </w:rPr>
        <w:t xml:space="preserve">for the Project </w:t>
      </w:r>
      <w:r w:rsidRPr="00E025BE">
        <w:rPr>
          <w:rFonts w:ascii="Times New Roman" w:hAnsi="Times New Roman"/>
          <w:sz w:val="24"/>
          <w:szCs w:val="24"/>
        </w:rPr>
        <w:t xml:space="preserve">is $4.418 billion. </w:t>
      </w:r>
      <w:r>
        <w:rPr>
          <w:rFonts w:ascii="Times New Roman" w:hAnsi="Times New Roman"/>
          <w:sz w:val="24"/>
          <w:szCs w:val="24"/>
        </w:rPr>
        <w:t>In its Seventeenth VCM Report, t</w:t>
      </w:r>
      <w:r w:rsidRPr="00E025BE">
        <w:rPr>
          <w:rFonts w:ascii="Times New Roman" w:hAnsi="Times New Roman"/>
          <w:sz w:val="24"/>
          <w:szCs w:val="24"/>
        </w:rPr>
        <w:t xml:space="preserve">he Company has requested verification and approval of an additional $542 million, which increases the total capital and construction cost to date to $4.44 billion. </w:t>
      </w:r>
      <w:r w:rsidRPr="0050004D">
        <w:rPr>
          <w:rFonts w:ascii="Times New Roman" w:hAnsi="Times New Roman"/>
          <w:sz w:val="24"/>
          <w:szCs w:val="24"/>
        </w:rPr>
        <w:t xml:space="preserve">Under O.C.G.A 46-3A-7(b), the Commission only verifies and approves expenditures made pursuant to the certificate. The Company has expressly argued that “approval” of costs under O.C.G.A. 46-3A-7(b) is not a request to change the certified cost and </w:t>
      </w:r>
      <w:r>
        <w:rPr>
          <w:rFonts w:ascii="Times New Roman" w:hAnsi="Times New Roman"/>
          <w:sz w:val="24"/>
          <w:szCs w:val="24"/>
        </w:rPr>
        <w:t>the Company</w:t>
      </w:r>
      <w:r w:rsidRPr="0050004D">
        <w:rPr>
          <w:rFonts w:ascii="Times New Roman" w:hAnsi="Times New Roman"/>
          <w:sz w:val="24"/>
          <w:szCs w:val="24"/>
        </w:rPr>
        <w:t xml:space="preserve"> ha</w:t>
      </w:r>
      <w:r>
        <w:rPr>
          <w:rFonts w:ascii="Times New Roman" w:hAnsi="Times New Roman"/>
          <w:sz w:val="24"/>
          <w:szCs w:val="24"/>
        </w:rPr>
        <w:t>s</w:t>
      </w:r>
      <w:r w:rsidRPr="0050004D">
        <w:rPr>
          <w:rFonts w:ascii="Times New Roman" w:hAnsi="Times New Roman"/>
          <w:sz w:val="24"/>
          <w:szCs w:val="24"/>
        </w:rPr>
        <w:t xml:space="preserve"> expressly stated that its </w:t>
      </w:r>
      <w:r>
        <w:rPr>
          <w:rFonts w:ascii="Times New Roman" w:hAnsi="Times New Roman"/>
          <w:sz w:val="24"/>
          <w:szCs w:val="24"/>
        </w:rPr>
        <w:t>Seventeenth VCM Report does not represent</w:t>
      </w:r>
      <w:r w:rsidRPr="0050004D">
        <w:rPr>
          <w:rFonts w:ascii="Times New Roman" w:hAnsi="Times New Roman"/>
          <w:sz w:val="24"/>
          <w:szCs w:val="24"/>
        </w:rPr>
        <w:t xml:space="preserve"> a request to amend its certificate.</w:t>
      </w:r>
      <w:r>
        <w:rPr>
          <w:rFonts w:ascii="Times New Roman" w:hAnsi="Times New Roman"/>
          <w:sz w:val="24"/>
          <w:szCs w:val="24"/>
        </w:rPr>
        <w:t xml:space="preserve"> (Tr. 1560) </w:t>
      </w:r>
      <w:r w:rsidRPr="00186FFE">
        <w:rPr>
          <w:rFonts w:ascii="Times New Roman" w:hAnsi="Times New Roman"/>
          <w:sz w:val="24"/>
          <w:szCs w:val="24"/>
        </w:rPr>
        <w:t>By not seeking a</w:t>
      </w:r>
      <w:r>
        <w:rPr>
          <w:rFonts w:ascii="Times New Roman" w:hAnsi="Times New Roman"/>
          <w:sz w:val="24"/>
          <w:szCs w:val="24"/>
        </w:rPr>
        <w:t>n</w:t>
      </w:r>
      <w:r w:rsidRPr="00186FFE">
        <w:rPr>
          <w:rFonts w:ascii="Times New Roman" w:hAnsi="Times New Roman"/>
          <w:sz w:val="24"/>
          <w:szCs w:val="24"/>
        </w:rPr>
        <w:t xml:space="preserve"> amendment to the certificate</w:t>
      </w:r>
      <w:r>
        <w:rPr>
          <w:rFonts w:ascii="Times New Roman" w:hAnsi="Times New Roman"/>
          <w:sz w:val="24"/>
          <w:szCs w:val="24"/>
        </w:rPr>
        <w:t xml:space="preserve"> in this proceeding</w:t>
      </w:r>
      <w:r w:rsidRPr="00186FFE">
        <w:rPr>
          <w:rFonts w:ascii="Times New Roman" w:hAnsi="Times New Roman"/>
          <w:sz w:val="24"/>
          <w:szCs w:val="24"/>
        </w:rPr>
        <w:t>, the Company avoided the requirement to file an amended Integrated Resource Plan</w:t>
      </w:r>
      <w:r>
        <w:rPr>
          <w:rFonts w:ascii="Times New Roman" w:hAnsi="Times New Roman"/>
          <w:sz w:val="24"/>
          <w:szCs w:val="24"/>
        </w:rPr>
        <w:t>, and</w:t>
      </w:r>
      <w:r w:rsidRPr="00186FFE">
        <w:rPr>
          <w:rFonts w:ascii="Times New Roman" w:hAnsi="Times New Roman"/>
          <w:sz w:val="24"/>
          <w:szCs w:val="24"/>
        </w:rPr>
        <w:t xml:space="preserve"> avoided the payments to the State </w:t>
      </w:r>
      <w:r>
        <w:rPr>
          <w:rFonts w:ascii="Times New Roman" w:hAnsi="Times New Roman"/>
          <w:sz w:val="24"/>
          <w:szCs w:val="24"/>
        </w:rPr>
        <w:t>for</w:t>
      </w:r>
      <w:r w:rsidRPr="00186FFE">
        <w:rPr>
          <w:rFonts w:ascii="Times New Roman" w:hAnsi="Times New Roman"/>
          <w:sz w:val="24"/>
          <w:szCs w:val="24"/>
        </w:rPr>
        <w:t xml:space="preserve"> </w:t>
      </w:r>
      <w:r w:rsidR="00B10AFA">
        <w:rPr>
          <w:rFonts w:ascii="Times New Roman" w:hAnsi="Times New Roman"/>
          <w:sz w:val="24"/>
          <w:szCs w:val="24"/>
        </w:rPr>
        <w:t xml:space="preserve">Commission and </w:t>
      </w:r>
      <w:r w:rsidRPr="00186FFE">
        <w:rPr>
          <w:rFonts w:ascii="Times New Roman" w:hAnsi="Times New Roman"/>
          <w:sz w:val="24"/>
          <w:szCs w:val="24"/>
        </w:rPr>
        <w:t xml:space="preserve">additional </w:t>
      </w:r>
      <w:r w:rsidR="005F5B3F">
        <w:rPr>
          <w:rFonts w:ascii="Times New Roman" w:hAnsi="Times New Roman"/>
          <w:sz w:val="24"/>
          <w:szCs w:val="24"/>
        </w:rPr>
        <w:t xml:space="preserve">PIAS </w:t>
      </w:r>
      <w:r w:rsidRPr="00186FFE">
        <w:rPr>
          <w:rFonts w:ascii="Times New Roman" w:hAnsi="Times New Roman"/>
          <w:sz w:val="24"/>
          <w:szCs w:val="24"/>
        </w:rPr>
        <w:t xml:space="preserve">consultant </w:t>
      </w:r>
      <w:r w:rsidR="005F5B3F">
        <w:rPr>
          <w:rFonts w:ascii="Times New Roman" w:hAnsi="Times New Roman"/>
          <w:sz w:val="24"/>
          <w:szCs w:val="24"/>
        </w:rPr>
        <w:t xml:space="preserve">resources </w:t>
      </w:r>
      <w:r w:rsidRPr="00186FFE">
        <w:rPr>
          <w:rFonts w:ascii="Times New Roman" w:hAnsi="Times New Roman"/>
          <w:sz w:val="24"/>
          <w:szCs w:val="24"/>
        </w:rPr>
        <w:t xml:space="preserve">under </w:t>
      </w:r>
      <w:r w:rsidRPr="0050004D">
        <w:rPr>
          <w:rFonts w:ascii="Times New Roman" w:hAnsi="Times New Roman"/>
          <w:sz w:val="24"/>
          <w:szCs w:val="24"/>
        </w:rPr>
        <w:t xml:space="preserve">O.C.G.A </w:t>
      </w:r>
      <w:r w:rsidRPr="00186FFE">
        <w:rPr>
          <w:rFonts w:ascii="Times New Roman" w:hAnsi="Times New Roman"/>
          <w:sz w:val="24"/>
          <w:szCs w:val="24"/>
        </w:rPr>
        <w:t xml:space="preserve">46-2-33.  </w:t>
      </w:r>
      <w:r>
        <w:rPr>
          <w:rFonts w:ascii="Times New Roman" w:hAnsi="Times New Roman"/>
          <w:sz w:val="24"/>
          <w:szCs w:val="24"/>
        </w:rPr>
        <w:t xml:space="preserve">(Tr. 1561) </w:t>
      </w:r>
    </w:p>
    <w:p w:rsidR="00215B57" w:rsidRDefault="00215B57" w:rsidP="00BF13D7">
      <w:pPr>
        <w:spacing w:line="240" w:lineRule="auto"/>
        <w:jc w:val="both"/>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r>
      <w:r w:rsidRPr="00E025BE">
        <w:rPr>
          <w:rFonts w:ascii="Times New Roman" w:hAnsi="Times New Roman"/>
          <w:sz w:val="24"/>
          <w:szCs w:val="24"/>
        </w:rPr>
        <w:t xml:space="preserve">Staff </w:t>
      </w:r>
      <w:r>
        <w:rPr>
          <w:rFonts w:ascii="Times New Roman" w:hAnsi="Times New Roman"/>
          <w:sz w:val="24"/>
          <w:szCs w:val="24"/>
        </w:rPr>
        <w:t xml:space="preserve">previously </w:t>
      </w:r>
      <w:r w:rsidRPr="00E025BE">
        <w:rPr>
          <w:rFonts w:ascii="Times New Roman" w:hAnsi="Times New Roman"/>
          <w:sz w:val="24"/>
          <w:szCs w:val="24"/>
        </w:rPr>
        <w:t xml:space="preserve">testified that expenditures over the certified amount </w:t>
      </w:r>
      <w:r w:rsidR="000674B6">
        <w:rPr>
          <w:rFonts w:ascii="Times New Roman" w:hAnsi="Times New Roman"/>
          <w:sz w:val="24"/>
          <w:szCs w:val="24"/>
        </w:rPr>
        <w:t>w</w:t>
      </w:r>
      <w:r w:rsidRPr="00E025BE">
        <w:rPr>
          <w:rFonts w:ascii="Times New Roman" w:hAnsi="Times New Roman"/>
          <w:sz w:val="24"/>
          <w:szCs w:val="24"/>
        </w:rPr>
        <w:t xml:space="preserve">ould not be verified and approved under the </w:t>
      </w:r>
      <w:r>
        <w:rPr>
          <w:rFonts w:ascii="Times New Roman" w:hAnsi="Times New Roman"/>
          <w:sz w:val="24"/>
          <w:szCs w:val="24"/>
        </w:rPr>
        <w:t xml:space="preserve">terms of the </w:t>
      </w:r>
      <w:r w:rsidRPr="00E025BE">
        <w:rPr>
          <w:rFonts w:ascii="Times New Roman" w:hAnsi="Times New Roman"/>
          <w:sz w:val="24"/>
          <w:szCs w:val="24"/>
        </w:rPr>
        <w:t xml:space="preserve">VCM 8 Stipulation. </w:t>
      </w:r>
      <w:r>
        <w:rPr>
          <w:rFonts w:ascii="Times New Roman" w:hAnsi="Times New Roman"/>
          <w:sz w:val="24"/>
          <w:szCs w:val="24"/>
        </w:rPr>
        <w:t xml:space="preserve">(Tr. 1561) </w:t>
      </w:r>
      <w:r w:rsidRPr="00E025BE">
        <w:rPr>
          <w:rFonts w:ascii="Times New Roman" w:hAnsi="Times New Roman"/>
          <w:sz w:val="24"/>
          <w:szCs w:val="24"/>
        </w:rPr>
        <w:t xml:space="preserve"> </w:t>
      </w:r>
    </w:p>
    <w:p w:rsidR="00215B57" w:rsidRPr="00186FFE" w:rsidRDefault="00215B57" w:rsidP="00BF13D7">
      <w:pPr>
        <w:spacing w:line="240" w:lineRule="auto"/>
        <w:jc w:val="both"/>
        <w:rPr>
          <w:rFonts w:ascii="Times New Roman" w:hAnsi="Times New Roman"/>
          <w:sz w:val="24"/>
          <w:szCs w:val="24"/>
        </w:rPr>
      </w:pPr>
      <w:r>
        <w:rPr>
          <w:rFonts w:ascii="Times New Roman" w:hAnsi="Times New Roman"/>
          <w:sz w:val="24"/>
          <w:szCs w:val="24"/>
        </w:rPr>
        <w:t>12.</w:t>
      </w:r>
      <w:r>
        <w:rPr>
          <w:rFonts w:ascii="Times New Roman" w:hAnsi="Times New Roman"/>
          <w:sz w:val="24"/>
          <w:szCs w:val="24"/>
        </w:rPr>
        <w:tab/>
        <w:t>As</w:t>
      </w:r>
      <w:r w:rsidRPr="00186FFE">
        <w:rPr>
          <w:rFonts w:ascii="Times New Roman" w:hAnsi="Times New Roman"/>
          <w:sz w:val="24"/>
          <w:szCs w:val="24"/>
        </w:rPr>
        <w:t xml:space="preserve"> the </w:t>
      </w:r>
      <w:r>
        <w:rPr>
          <w:rFonts w:ascii="Times New Roman" w:hAnsi="Times New Roman"/>
          <w:sz w:val="24"/>
          <w:szCs w:val="24"/>
        </w:rPr>
        <w:t xml:space="preserve">Company has not requested an amendment to the </w:t>
      </w:r>
      <w:r w:rsidRPr="00186FFE">
        <w:rPr>
          <w:rFonts w:ascii="Times New Roman" w:hAnsi="Times New Roman"/>
          <w:sz w:val="24"/>
          <w:szCs w:val="24"/>
        </w:rPr>
        <w:t>certificate</w:t>
      </w:r>
      <w:r>
        <w:rPr>
          <w:rFonts w:ascii="Times New Roman" w:hAnsi="Times New Roman"/>
          <w:sz w:val="24"/>
          <w:szCs w:val="24"/>
        </w:rPr>
        <w:t>,</w:t>
      </w:r>
      <w:r w:rsidRPr="00186FFE">
        <w:rPr>
          <w:rFonts w:ascii="Times New Roman" w:hAnsi="Times New Roman"/>
          <w:sz w:val="24"/>
          <w:szCs w:val="24"/>
        </w:rPr>
        <w:t xml:space="preserve"> the certified cost </w:t>
      </w:r>
      <w:r>
        <w:rPr>
          <w:rFonts w:ascii="Times New Roman" w:hAnsi="Times New Roman"/>
          <w:sz w:val="24"/>
          <w:szCs w:val="24"/>
        </w:rPr>
        <w:t>cannot be</w:t>
      </w:r>
      <w:r w:rsidRPr="00186FFE">
        <w:rPr>
          <w:rFonts w:ascii="Times New Roman" w:hAnsi="Times New Roman"/>
          <w:sz w:val="24"/>
          <w:szCs w:val="24"/>
        </w:rPr>
        <w:t xml:space="preserve"> changed and expenditures above the certificated amount cannot therefore be “approved” since they are not “made pursuant to the certificate.”  </w:t>
      </w:r>
    </w:p>
    <w:p w:rsidR="00215B57" w:rsidRPr="00215B57" w:rsidRDefault="00215B57" w:rsidP="00BF13D7">
      <w:pPr>
        <w:spacing w:line="240" w:lineRule="auto"/>
        <w:contextualSpacing/>
        <w:jc w:val="both"/>
        <w:rPr>
          <w:rFonts w:ascii="Times New Roman" w:hAnsi="Times New Roman"/>
          <w:sz w:val="24"/>
          <w:szCs w:val="24"/>
        </w:rPr>
      </w:pPr>
    </w:p>
    <w:p w:rsidR="0087371D" w:rsidRPr="00215B57" w:rsidRDefault="00215B57" w:rsidP="00BF13D7">
      <w:pPr>
        <w:spacing w:line="240" w:lineRule="auto"/>
        <w:jc w:val="both"/>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sidR="000674B6">
        <w:rPr>
          <w:rFonts w:ascii="Times New Roman" w:hAnsi="Times New Roman"/>
          <w:sz w:val="24"/>
          <w:szCs w:val="24"/>
        </w:rPr>
        <w:t>The Commission finds that the break-even point for the Project is $</w:t>
      </w:r>
      <w:r w:rsidR="003160A2">
        <w:rPr>
          <w:rFonts w:ascii="Times New Roman" w:hAnsi="Times New Roman"/>
          <w:sz w:val="24"/>
          <w:szCs w:val="24"/>
        </w:rPr>
        <w:t>8.9</w:t>
      </w:r>
      <w:r w:rsidR="000674B6">
        <w:rPr>
          <w:rFonts w:ascii="Times New Roman" w:hAnsi="Times New Roman"/>
          <w:sz w:val="24"/>
          <w:szCs w:val="24"/>
        </w:rPr>
        <w:t xml:space="preserve"> billion. </w:t>
      </w:r>
      <w:r w:rsidR="0087371D" w:rsidRPr="00215B57">
        <w:rPr>
          <w:rFonts w:ascii="Times New Roman" w:hAnsi="Times New Roman"/>
          <w:sz w:val="24"/>
          <w:szCs w:val="24"/>
        </w:rPr>
        <w:t xml:space="preserve">This finding is based on PIAS’ analysis comparing the cost to complete the </w:t>
      </w:r>
      <w:r w:rsidR="00CA0259">
        <w:rPr>
          <w:rFonts w:ascii="Times New Roman" w:hAnsi="Times New Roman"/>
          <w:sz w:val="24"/>
          <w:szCs w:val="24"/>
        </w:rPr>
        <w:t>P</w:t>
      </w:r>
      <w:r w:rsidR="005F5B3F" w:rsidRPr="00215B57">
        <w:rPr>
          <w:rFonts w:ascii="Times New Roman" w:hAnsi="Times New Roman"/>
          <w:sz w:val="24"/>
          <w:szCs w:val="24"/>
        </w:rPr>
        <w:t xml:space="preserve">roject </w:t>
      </w:r>
      <w:r w:rsidR="0087371D" w:rsidRPr="00215B57">
        <w:rPr>
          <w:rFonts w:ascii="Times New Roman" w:hAnsi="Times New Roman"/>
          <w:sz w:val="24"/>
          <w:szCs w:val="24"/>
        </w:rPr>
        <w:t xml:space="preserve">against the cost to cancel the </w:t>
      </w:r>
      <w:r w:rsidR="00963E29">
        <w:rPr>
          <w:rFonts w:ascii="Times New Roman" w:hAnsi="Times New Roman"/>
          <w:sz w:val="24"/>
          <w:szCs w:val="24"/>
        </w:rPr>
        <w:t>Project</w:t>
      </w:r>
      <w:r w:rsidR="0087371D" w:rsidRPr="00215B57">
        <w:rPr>
          <w:rFonts w:ascii="Times New Roman" w:hAnsi="Times New Roman"/>
          <w:sz w:val="24"/>
          <w:szCs w:val="24"/>
        </w:rPr>
        <w:t xml:space="preserve"> and build a combined cycle unit (“CC”).  The Staff’s modeling assumptions are accepted and relied on by this Commission and include the following:</w:t>
      </w:r>
    </w:p>
    <w:p w:rsidR="0087371D" w:rsidRPr="00215B57" w:rsidRDefault="0087371D" w:rsidP="00BF13D7">
      <w:pPr>
        <w:pStyle w:val="ListParagraph"/>
        <w:numPr>
          <w:ilvl w:val="1"/>
          <w:numId w:val="5"/>
        </w:numPr>
        <w:spacing w:line="240" w:lineRule="auto"/>
        <w:jc w:val="both"/>
        <w:rPr>
          <w:rFonts w:ascii="Times New Roman" w:hAnsi="Times New Roman" w:cs="Times New Roman"/>
          <w:sz w:val="24"/>
          <w:szCs w:val="24"/>
        </w:rPr>
      </w:pPr>
      <w:r w:rsidRPr="00215B57">
        <w:rPr>
          <w:rFonts w:ascii="Times New Roman" w:hAnsi="Times New Roman" w:cs="Times New Roman"/>
          <w:sz w:val="24"/>
          <w:szCs w:val="24"/>
        </w:rPr>
        <w:t>Loss of PTCs and bonus depreciation due to Company delays: the Commission finds that the loss of the PTCs and bonus depreciation is due to actions and inactions of the Company and its Contractor</w:t>
      </w:r>
      <w:r w:rsidR="00FB7368">
        <w:rPr>
          <w:rFonts w:ascii="Times New Roman" w:hAnsi="Times New Roman" w:cs="Times New Roman"/>
          <w:sz w:val="24"/>
          <w:szCs w:val="24"/>
        </w:rPr>
        <w:t>;</w:t>
      </w:r>
      <w:r w:rsidRPr="00215B57">
        <w:rPr>
          <w:rFonts w:ascii="Times New Roman" w:hAnsi="Times New Roman" w:cs="Times New Roman"/>
          <w:sz w:val="24"/>
          <w:szCs w:val="24"/>
        </w:rPr>
        <w:t xml:space="preserve"> therefore, such costs should be borne by the Company  and not be bor</w:t>
      </w:r>
      <w:r w:rsidR="00FB7368">
        <w:rPr>
          <w:rFonts w:ascii="Times New Roman" w:hAnsi="Times New Roman" w:cs="Times New Roman"/>
          <w:sz w:val="24"/>
          <w:szCs w:val="24"/>
        </w:rPr>
        <w:t>n</w:t>
      </w:r>
      <w:r w:rsidRPr="00215B57">
        <w:rPr>
          <w:rFonts w:ascii="Times New Roman" w:hAnsi="Times New Roman" w:cs="Times New Roman"/>
          <w:sz w:val="24"/>
          <w:szCs w:val="24"/>
        </w:rPr>
        <w:t xml:space="preserve">e by ratepayers, however, even if the PTCs are extended the </w:t>
      </w:r>
      <w:r w:rsidR="00963E29">
        <w:rPr>
          <w:rFonts w:ascii="Times New Roman" w:hAnsi="Times New Roman" w:cs="Times New Roman"/>
          <w:sz w:val="24"/>
          <w:szCs w:val="24"/>
        </w:rPr>
        <w:t>Project</w:t>
      </w:r>
      <w:r w:rsidRPr="00215B57">
        <w:rPr>
          <w:rFonts w:ascii="Times New Roman" w:hAnsi="Times New Roman" w:cs="Times New Roman"/>
          <w:sz w:val="24"/>
          <w:szCs w:val="24"/>
        </w:rPr>
        <w:t xml:space="preserve"> would still be uneconomic;</w:t>
      </w:r>
    </w:p>
    <w:p w:rsidR="0087371D" w:rsidRPr="00215B57" w:rsidRDefault="0087371D" w:rsidP="00BF13D7">
      <w:pPr>
        <w:pStyle w:val="ListParagraph"/>
        <w:spacing w:line="240" w:lineRule="auto"/>
        <w:ind w:left="1080"/>
        <w:jc w:val="both"/>
        <w:rPr>
          <w:rFonts w:ascii="Times New Roman" w:hAnsi="Times New Roman" w:cs="Times New Roman"/>
          <w:sz w:val="24"/>
          <w:szCs w:val="24"/>
        </w:rPr>
      </w:pPr>
    </w:p>
    <w:p w:rsidR="0087371D" w:rsidRPr="00215B57" w:rsidRDefault="0087371D" w:rsidP="00BF13D7">
      <w:pPr>
        <w:pStyle w:val="ListParagraph"/>
        <w:numPr>
          <w:ilvl w:val="1"/>
          <w:numId w:val="5"/>
        </w:numPr>
        <w:spacing w:after="0" w:line="240" w:lineRule="auto"/>
        <w:jc w:val="both"/>
        <w:rPr>
          <w:rFonts w:ascii="Times New Roman" w:hAnsi="Times New Roman" w:cs="Times New Roman"/>
          <w:sz w:val="24"/>
          <w:szCs w:val="24"/>
        </w:rPr>
      </w:pPr>
      <w:r w:rsidRPr="00215B57">
        <w:rPr>
          <w:rFonts w:ascii="Times New Roman" w:hAnsi="Times New Roman" w:cs="Times New Roman"/>
          <w:sz w:val="24"/>
          <w:szCs w:val="24"/>
        </w:rPr>
        <w:t>Benefits of the additional United States DOE loan guarantees:  testimony indicated that these guarantees have been granted and were taken into effect in PIAS’ analysis;</w:t>
      </w:r>
    </w:p>
    <w:p w:rsidR="0087371D" w:rsidRPr="00215B57" w:rsidRDefault="0087371D" w:rsidP="00BF13D7">
      <w:pPr>
        <w:pStyle w:val="ListParagraph"/>
        <w:spacing w:after="0" w:line="240" w:lineRule="auto"/>
        <w:ind w:left="1080"/>
        <w:jc w:val="both"/>
        <w:rPr>
          <w:rFonts w:ascii="Times New Roman" w:hAnsi="Times New Roman" w:cs="Times New Roman"/>
          <w:sz w:val="24"/>
          <w:szCs w:val="24"/>
        </w:rPr>
      </w:pPr>
    </w:p>
    <w:p w:rsidR="0087371D" w:rsidRPr="00215B57" w:rsidRDefault="0087371D" w:rsidP="00BF13D7">
      <w:pPr>
        <w:pStyle w:val="ListParagraph"/>
        <w:numPr>
          <w:ilvl w:val="1"/>
          <w:numId w:val="5"/>
        </w:numPr>
        <w:spacing w:after="0" w:line="240" w:lineRule="auto"/>
        <w:jc w:val="both"/>
        <w:rPr>
          <w:rFonts w:ascii="Times New Roman" w:hAnsi="Times New Roman" w:cs="Times New Roman"/>
          <w:sz w:val="24"/>
          <w:szCs w:val="24"/>
        </w:rPr>
      </w:pPr>
      <w:r w:rsidRPr="00215B57">
        <w:rPr>
          <w:rFonts w:ascii="Times New Roman" w:hAnsi="Times New Roman" w:cs="Times New Roman"/>
          <w:sz w:val="24"/>
          <w:szCs w:val="24"/>
        </w:rPr>
        <w:t>PIAS’ natural gas forecast: the Company’s natural gas price forecasts are overstated because the Company unreasonably relies on a single source for its estimate as opposed to averaging numerous sources as was done by PIAS;</w:t>
      </w:r>
    </w:p>
    <w:p w:rsidR="0087371D" w:rsidRPr="00215B57" w:rsidRDefault="0087371D" w:rsidP="00BF13D7">
      <w:pPr>
        <w:spacing w:after="0" w:line="240" w:lineRule="auto"/>
        <w:contextualSpacing/>
        <w:jc w:val="both"/>
        <w:rPr>
          <w:rFonts w:ascii="Times New Roman" w:hAnsi="Times New Roman"/>
          <w:sz w:val="24"/>
          <w:szCs w:val="24"/>
        </w:rPr>
      </w:pPr>
    </w:p>
    <w:p w:rsidR="0087371D" w:rsidRPr="00215B57" w:rsidRDefault="0087371D" w:rsidP="00BF13D7">
      <w:pPr>
        <w:pStyle w:val="ListParagraph"/>
        <w:numPr>
          <w:ilvl w:val="1"/>
          <w:numId w:val="5"/>
        </w:numPr>
        <w:spacing w:line="240" w:lineRule="auto"/>
        <w:jc w:val="both"/>
        <w:rPr>
          <w:rFonts w:ascii="Times New Roman" w:hAnsi="Times New Roman" w:cs="Times New Roman"/>
          <w:sz w:val="24"/>
          <w:szCs w:val="24"/>
        </w:rPr>
      </w:pPr>
      <w:r w:rsidRPr="00215B57">
        <w:rPr>
          <w:rFonts w:ascii="Times New Roman" w:hAnsi="Times New Roman" w:cs="Times New Roman"/>
          <w:sz w:val="24"/>
          <w:szCs w:val="24"/>
        </w:rPr>
        <w:t xml:space="preserve">Incremental income tax benefits of abandoning the </w:t>
      </w:r>
      <w:r w:rsidR="00963E29">
        <w:rPr>
          <w:rFonts w:ascii="Times New Roman" w:hAnsi="Times New Roman" w:cs="Times New Roman"/>
          <w:sz w:val="24"/>
          <w:szCs w:val="24"/>
        </w:rPr>
        <w:t>Project</w:t>
      </w:r>
      <w:r w:rsidRPr="00215B57">
        <w:rPr>
          <w:rFonts w:ascii="Times New Roman" w:hAnsi="Times New Roman" w:cs="Times New Roman"/>
          <w:sz w:val="24"/>
          <w:szCs w:val="24"/>
        </w:rPr>
        <w:t xml:space="preserve">: the Company’s analysis takes into account several incremental effects of abandoning the </w:t>
      </w:r>
      <w:r w:rsidR="00963E29">
        <w:rPr>
          <w:rFonts w:ascii="Times New Roman" w:hAnsi="Times New Roman" w:cs="Times New Roman"/>
          <w:sz w:val="24"/>
          <w:szCs w:val="24"/>
        </w:rPr>
        <w:t>Project</w:t>
      </w:r>
      <w:r w:rsidRPr="00215B57">
        <w:rPr>
          <w:rFonts w:ascii="Times New Roman" w:hAnsi="Times New Roman" w:cs="Times New Roman"/>
          <w:sz w:val="24"/>
          <w:szCs w:val="24"/>
        </w:rPr>
        <w:t xml:space="preserve"> but ignores the tax benefits, the Commission finds that this is incorrect;</w:t>
      </w:r>
    </w:p>
    <w:p w:rsidR="0087371D" w:rsidRPr="00215B57" w:rsidRDefault="0087371D" w:rsidP="00BF13D7">
      <w:pPr>
        <w:pStyle w:val="ListParagraph"/>
        <w:spacing w:line="240" w:lineRule="auto"/>
        <w:jc w:val="both"/>
        <w:rPr>
          <w:rFonts w:ascii="Times New Roman" w:hAnsi="Times New Roman" w:cs="Times New Roman"/>
          <w:sz w:val="24"/>
          <w:szCs w:val="24"/>
        </w:rPr>
      </w:pPr>
    </w:p>
    <w:p w:rsidR="0087371D" w:rsidRPr="00215B57" w:rsidRDefault="0087371D" w:rsidP="00BF13D7">
      <w:pPr>
        <w:pStyle w:val="ListParagraph"/>
        <w:numPr>
          <w:ilvl w:val="1"/>
          <w:numId w:val="5"/>
        </w:numPr>
        <w:spacing w:after="0" w:line="240" w:lineRule="auto"/>
        <w:jc w:val="both"/>
        <w:rPr>
          <w:rFonts w:ascii="Times New Roman" w:hAnsi="Times New Roman" w:cs="Times New Roman"/>
          <w:sz w:val="24"/>
          <w:szCs w:val="24"/>
        </w:rPr>
      </w:pPr>
      <w:r w:rsidRPr="00215B57">
        <w:rPr>
          <w:rFonts w:ascii="Times New Roman" w:hAnsi="Times New Roman" w:cs="Times New Roman"/>
          <w:sz w:val="24"/>
          <w:szCs w:val="24"/>
        </w:rPr>
        <w:t>Reductions in the return on equity on sunk costs;</w:t>
      </w:r>
    </w:p>
    <w:p w:rsidR="0087371D" w:rsidRPr="00215B57" w:rsidRDefault="0087371D" w:rsidP="00BF13D7">
      <w:pPr>
        <w:spacing w:after="0" w:line="240" w:lineRule="auto"/>
        <w:contextualSpacing/>
        <w:jc w:val="both"/>
        <w:rPr>
          <w:rFonts w:ascii="Times New Roman" w:hAnsi="Times New Roman"/>
          <w:sz w:val="24"/>
          <w:szCs w:val="24"/>
        </w:rPr>
      </w:pPr>
    </w:p>
    <w:p w:rsidR="0087371D" w:rsidRPr="00215B57" w:rsidRDefault="0087371D" w:rsidP="00BF13D7">
      <w:pPr>
        <w:pStyle w:val="ListParagraph"/>
        <w:numPr>
          <w:ilvl w:val="1"/>
          <w:numId w:val="5"/>
        </w:numPr>
        <w:spacing w:line="240" w:lineRule="auto"/>
        <w:jc w:val="both"/>
        <w:rPr>
          <w:rFonts w:ascii="Times New Roman" w:hAnsi="Times New Roman" w:cs="Times New Roman"/>
          <w:sz w:val="24"/>
          <w:szCs w:val="24"/>
        </w:rPr>
      </w:pPr>
      <w:r w:rsidRPr="00215B57">
        <w:rPr>
          <w:rFonts w:ascii="Times New Roman" w:hAnsi="Times New Roman" w:cs="Times New Roman"/>
          <w:sz w:val="24"/>
          <w:szCs w:val="24"/>
        </w:rPr>
        <w:t xml:space="preserve">Date for Present Value set at 2018: in an effort to make the Project appear more economic than it is, the Company proposes a dramatic shift in the Net Present Value date from 2016 to 2021.  Such a change is not supported.  However, a reasonable change to 2018 will be made and will be used for future proceedings;   </w:t>
      </w:r>
    </w:p>
    <w:p w:rsidR="0087371D" w:rsidRPr="00215B57" w:rsidRDefault="0087371D" w:rsidP="00BF13D7">
      <w:pPr>
        <w:pStyle w:val="ListParagraph"/>
        <w:spacing w:line="240" w:lineRule="auto"/>
        <w:ind w:left="1080"/>
        <w:jc w:val="both"/>
        <w:rPr>
          <w:rFonts w:ascii="Times New Roman" w:hAnsi="Times New Roman" w:cs="Times New Roman"/>
          <w:sz w:val="24"/>
          <w:szCs w:val="24"/>
        </w:rPr>
      </w:pPr>
    </w:p>
    <w:p w:rsidR="0087371D" w:rsidRPr="00215B57" w:rsidRDefault="0087371D" w:rsidP="00BF13D7">
      <w:pPr>
        <w:pStyle w:val="ListParagraph"/>
        <w:numPr>
          <w:ilvl w:val="1"/>
          <w:numId w:val="5"/>
        </w:numPr>
        <w:spacing w:line="240" w:lineRule="auto"/>
        <w:jc w:val="both"/>
        <w:rPr>
          <w:rFonts w:ascii="Times New Roman" w:hAnsi="Times New Roman" w:cs="Times New Roman"/>
          <w:sz w:val="24"/>
          <w:szCs w:val="24"/>
        </w:rPr>
      </w:pPr>
      <w:r w:rsidRPr="00215B57">
        <w:rPr>
          <w:rFonts w:ascii="Times New Roman" w:hAnsi="Times New Roman" w:cs="Times New Roman"/>
          <w:sz w:val="24"/>
          <w:szCs w:val="24"/>
        </w:rPr>
        <w:t>Assumption that the Toshiba Parental Guarantee payments will be received.</w:t>
      </w:r>
    </w:p>
    <w:p w:rsidR="0087371D" w:rsidRPr="00215B57" w:rsidRDefault="0087371D" w:rsidP="00BF13D7">
      <w:pPr>
        <w:pStyle w:val="ListParagraph"/>
        <w:spacing w:line="240" w:lineRule="auto"/>
        <w:ind w:left="0"/>
        <w:jc w:val="both"/>
        <w:rPr>
          <w:rFonts w:ascii="Times New Roman" w:hAnsi="Times New Roman" w:cs="Times New Roman"/>
          <w:sz w:val="24"/>
          <w:szCs w:val="24"/>
        </w:rPr>
      </w:pPr>
      <w:r w:rsidRPr="00215B57">
        <w:rPr>
          <w:rFonts w:ascii="Times New Roman" w:hAnsi="Times New Roman" w:cs="Times New Roman"/>
          <w:sz w:val="24"/>
          <w:szCs w:val="24"/>
        </w:rPr>
        <w:t>(</w:t>
      </w:r>
      <w:r w:rsidR="008178D3">
        <w:rPr>
          <w:rFonts w:ascii="Times New Roman" w:hAnsi="Times New Roman" w:cs="Times New Roman"/>
          <w:sz w:val="24"/>
          <w:szCs w:val="24"/>
        </w:rPr>
        <w:t>Tr. 1797-1798, 1802-1803</w:t>
      </w:r>
      <w:r w:rsidRPr="00215B57">
        <w:rPr>
          <w:rFonts w:ascii="Times New Roman" w:hAnsi="Times New Roman" w:cs="Times New Roman"/>
          <w:sz w:val="24"/>
          <w:szCs w:val="24"/>
        </w:rPr>
        <w:t>).</w:t>
      </w:r>
    </w:p>
    <w:p w:rsidR="0087371D" w:rsidRPr="00215B57" w:rsidRDefault="0087371D" w:rsidP="00BF13D7">
      <w:pPr>
        <w:pStyle w:val="ListParagraph"/>
        <w:spacing w:line="240" w:lineRule="auto"/>
        <w:ind w:left="0"/>
        <w:jc w:val="both"/>
        <w:rPr>
          <w:rFonts w:ascii="Times New Roman" w:hAnsi="Times New Roman" w:cs="Times New Roman"/>
          <w:sz w:val="24"/>
          <w:szCs w:val="24"/>
        </w:rPr>
      </w:pPr>
    </w:p>
    <w:p w:rsidR="0087371D" w:rsidRDefault="00215B57" w:rsidP="00BF13D7">
      <w:pPr>
        <w:spacing w:line="240" w:lineRule="auto"/>
        <w:jc w:val="both"/>
        <w:rPr>
          <w:rFonts w:ascii="Times New Roman" w:hAnsi="Times New Roman"/>
          <w:sz w:val="24"/>
          <w:szCs w:val="24"/>
        </w:rPr>
      </w:pPr>
      <w:r>
        <w:rPr>
          <w:rFonts w:ascii="Times New Roman" w:hAnsi="Times New Roman"/>
          <w:sz w:val="24"/>
          <w:szCs w:val="24"/>
        </w:rPr>
        <w:t>14.</w:t>
      </w:r>
      <w:r>
        <w:rPr>
          <w:rFonts w:ascii="Times New Roman" w:hAnsi="Times New Roman"/>
          <w:sz w:val="24"/>
          <w:szCs w:val="24"/>
        </w:rPr>
        <w:tab/>
      </w:r>
      <w:r w:rsidR="0087371D" w:rsidRPr="00215B57">
        <w:rPr>
          <w:rFonts w:ascii="Times New Roman" w:hAnsi="Times New Roman"/>
          <w:sz w:val="24"/>
          <w:szCs w:val="24"/>
        </w:rPr>
        <w:t xml:space="preserve">The Commission accepts </w:t>
      </w:r>
      <w:r w:rsidR="0069025F">
        <w:rPr>
          <w:rFonts w:ascii="Times New Roman" w:hAnsi="Times New Roman"/>
          <w:sz w:val="24"/>
          <w:szCs w:val="24"/>
        </w:rPr>
        <w:t>the result of Staff’s 68-month D</w:t>
      </w:r>
      <w:r w:rsidR="0087371D" w:rsidRPr="00215B57">
        <w:rPr>
          <w:rFonts w:ascii="Times New Roman" w:hAnsi="Times New Roman"/>
          <w:sz w:val="24"/>
          <w:szCs w:val="24"/>
        </w:rPr>
        <w:t xml:space="preserve">elay Economic Evaluation (referred to by the Company as a 29 month delay evaluation) which indicates that on an expected value basis, the </w:t>
      </w:r>
      <w:r w:rsidR="00963E29">
        <w:rPr>
          <w:rFonts w:ascii="Times New Roman" w:hAnsi="Times New Roman"/>
          <w:sz w:val="24"/>
          <w:szCs w:val="24"/>
        </w:rPr>
        <w:t>Project</w:t>
      </w:r>
      <w:r w:rsidR="00FB7368" w:rsidRPr="00215B57">
        <w:rPr>
          <w:rFonts w:ascii="Times New Roman" w:hAnsi="Times New Roman"/>
          <w:sz w:val="24"/>
          <w:szCs w:val="24"/>
        </w:rPr>
        <w:t xml:space="preserve"> </w:t>
      </w:r>
      <w:r w:rsidR="0087371D" w:rsidRPr="00215B57">
        <w:rPr>
          <w:rFonts w:ascii="Times New Roman" w:hAnsi="Times New Roman"/>
          <w:sz w:val="24"/>
          <w:szCs w:val="24"/>
        </w:rPr>
        <w:t>is expected to be uneconomic by $1.6 billion.  (</w:t>
      </w:r>
      <w:r w:rsidR="00AE34F2">
        <w:rPr>
          <w:rFonts w:ascii="Times New Roman" w:hAnsi="Times New Roman"/>
          <w:sz w:val="24"/>
          <w:szCs w:val="24"/>
        </w:rPr>
        <w:t>Tr. 1805</w:t>
      </w:r>
      <w:r w:rsidR="0087371D" w:rsidRPr="00215B57">
        <w:rPr>
          <w:rFonts w:ascii="Times New Roman" w:hAnsi="Times New Roman"/>
          <w:sz w:val="24"/>
          <w:szCs w:val="24"/>
        </w:rPr>
        <w:t xml:space="preserve">).  </w:t>
      </w:r>
      <w:r w:rsidR="0087371D" w:rsidRPr="0094499E">
        <w:rPr>
          <w:rFonts w:ascii="Times New Roman" w:hAnsi="Times New Roman"/>
          <w:sz w:val="24"/>
          <w:szCs w:val="24"/>
        </w:rPr>
        <w:t xml:space="preserve">Any further delay beyond that currently forecast by the Company will significantly increase the uneconomic nature of the </w:t>
      </w:r>
      <w:r w:rsidR="00963E29">
        <w:rPr>
          <w:rFonts w:ascii="Times New Roman" w:hAnsi="Times New Roman"/>
          <w:sz w:val="24"/>
          <w:szCs w:val="24"/>
        </w:rPr>
        <w:t>Project</w:t>
      </w:r>
      <w:r w:rsidR="0087371D" w:rsidRPr="0094499E">
        <w:rPr>
          <w:rFonts w:ascii="Times New Roman" w:hAnsi="Times New Roman"/>
          <w:sz w:val="24"/>
          <w:szCs w:val="24"/>
        </w:rPr>
        <w:t>.  (</w:t>
      </w:r>
      <w:r w:rsidR="00AE34F2">
        <w:rPr>
          <w:rFonts w:ascii="Times New Roman" w:hAnsi="Times New Roman"/>
          <w:sz w:val="24"/>
          <w:szCs w:val="24"/>
        </w:rPr>
        <w:t>Tr. 1805-1806</w:t>
      </w:r>
      <w:r w:rsidR="0087371D" w:rsidRPr="0094499E">
        <w:rPr>
          <w:rFonts w:ascii="Times New Roman" w:hAnsi="Times New Roman"/>
          <w:sz w:val="24"/>
          <w:szCs w:val="24"/>
        </w:rPr>
        <w:t>).  Because the costs that the Company seeks to recover on a going forward basis exceed those of the least cost alternative, the Company cannot meet its burden of showing that it is reasonable to recover these costs from ratepayers.</w:t>
      </w:r>
    </w:p>
    <w:p w:rsidR="0087371D" w:rsidRPr="00215B57" w:rsidRDefault="00CD0032" w:rsidP="00264207">
      <w:pPr>
        <w:spacing w:line="240" w:lineRule="auto"/>
        <w:jc w:val="both"/>
        <w:rPr>
          <w:rFonts w:ascii="Times New Roman" w:hAnsi="Times New Roman"/>
          <w:sz w:val="24"/>
          <w:szCs w:val="24"/>
        </w:rPr>
      </w:pPr>
      <w:r>
        <w:rPr>
          <w:rFonts w:ascii="Times New Roman" w:hAnsi="Times New Roman"/>
          <w:sz w:val="24"/>
          <w:szCs w:val="24"/>
        </w:rPr>
        <w:t>15.</w:t>
      </w:r>
      <w:r>
        <w:rPr>
          <w:rFonts w:ascii="Times New Roman" w:hAnsi="Times New Roman"/>
          <w:sz w:val="24"/>
          <w:szCs w:val="24"/>
        </w:rPr>
        <w:tab/>
        <w:t>PIAS also analyzed delay scenarios beyond 68 months.  Specifically, PIAS analyzed the following scenarios:</w:t>
      </w:r>
      <w:r w:rsidR="00EF5C67" w:rsidRPr="00CA0259">
        <w:rPr>
          <w:rFonts w:ascii="Times New Roman" w:hAnsi="Times New Roman"/>
          <w:sz w:val="24"/>
          <w:szCs w:val="24"/>
        </w:rPr>
        <w:t xml:space="preserve"> additional 24-month delay case (92-month delay case), additional 36-month delay case (104-month delay case) and additional 48-month delay case (116-month delay case)</w:t>
      </w:r>
      <w:r w:rsidR="00FB7368">
        <w:rPr>
          <w:rFonts w:ascii="Times New Roman" w:hAnsi="Times New Roman"/>
          <w:sz w:val="24"/>
          <w:szCs w:val="24"/>
        </w:rPr>
        <w:t xml:space="preserve">. </w:t>
      </w:r>
      <w:r w:rsidR="00EF5C67" w:rsidRPr="00CA0259">
        <w:rPr>
          <w:rFonts w:ascii="Times New Roman" w:hAnsi="Times New Roman"/>
          <w:sz w:val="24"/>
          <w:szCs w:val="24"/>
        </w:rPr>
        <w:t xml:space="preserve"> </w:t>
      </w:r>
      <w:r>
        <w:rPr>
          <w:rFonts w:ascii="Times New Roman" w:hAnsi="Times New Roman"/>
          <w:sz w:val="24"/>
          <w:szCs w:val="24"/>
        </w:rPr>
        <w:t xml:space="preserve">The results showed that the Project would be </w:t>
      </w:r>
      <w:r w:rsidR="00EF5C67" w:rsidRPr="00CA0259">
        <w:rPr>
          <w:rFonts w:ascii="Times New Roman" w:hAnsi="Times New Roman"/>
          <w:sz w:val="24"/>
          <w:szCs w:val="24"/>
        </w:rPr>
        <w:t>uneconomic by $3.3 billion, $4.1 billion and $4.9 billion, respectively.</w:t>
      </w:r>
    </w:p>
    <w:p w:rsidR="0087371D" w:rsidRPr="0094499E" w:rsidRDefault="0094499E" w:rsidP="00BF13D7">
      <w:pPr>
        <w:spacing w:line="240" w:lineRule="auto"/>
        <w:jc w:val="both"/>
        <w:rPr>
          <w:rFonts w:ascii="Times New Roman" w:hAnsi="Times New Roman"/>
          <w:sz w:val="24"/>
          <w:szCs w:val="24"/>
        </w:rPr>
      </w:pPr>
      <w:r>
        <w:rPr>
          <w:rFonts w:ascii="Times New Roman" w:hAnsi="Times New Roman"/>
          <w:sz w:val="24"/>
          <w:szCs w:val="24"/>
        </w:rPr>
        <w:t>1</w:t>
      </w:r>
      <w:r w:rsidR="00AA1AC1">
        <w:rPr>
          <w:rFonts w:ascii="Times New Roman" w:hAnsi="Times New Roman"/>
          <w:sz w:val="24"/>
          <w:szCs w:val="24"/>
        </w:rPr>
        <w:t>6</w:t>
      </w:r>
      <w:r>
        <w:rPr>
          <w:rFonts w:ascii="Times New Roman" w:hAnsi="Times New Roman"/>
          <w:sz w:val="24"/>
          <w:szCs w:val="24"/>
        </w:rPr>
        <w:t>.</w:t>
      </w:r>
      <w:r>
        <w:rPr>
          <w:rFonts w:ascii="Times New Roman" w:hAnsi="Times New Roman"/>
          <w:sz w:val="24"/>
          <w:szCs w:val="24"/>
        </w:rPr>
        <w:tab/>
      </w:r>
      <w:r w:rsidR="0087371D" w:rsidRPr="0094499E">
        <w:rPr>
          <w:rFonts w:ascii="Times New Roman" w:hAnsi="Times New Roman"/>
          <w:sz w:val="24"/>
          <w:szCs w:val="24"/>
        </w:rPr>
        <w:t xml:space="preserve">The changes in the </w:t>
      </w:r>
      <w:r w:rsidR="00963E29">
        <w:rPr>
          <w:rFonts w:ascii="Times New Roman" w:hAnsi="Times New Roman"/>
          <w:sz w:val="24"/>
          <w:szCs w:val="24"/>
        </w:rPr>
        <w:t>Project</w:t>
      </w:r>
      <w:r w:rsidR="007028CE" w:rsidRPr="0094499E">
        <w:rPr>
          <w:rFonts w:ascii="Times New Roman" w:hAnsi="Times New Roman"/>
          <w:sz w:val="24"/>
          <w:szCs w:val="24"/>
        </w:rPr>
        <w:t xml:space="preserve"> </w:t>
      </w:r>
      <w:r w:rsidR="0087371D" w:rsidRPr="0094499E">
        <w:rPr>
          <w:rFonts w:ascii="Times New Roman" w:hAnsi="Times New Roman"/>
          <w:sz w:val="24"/>
          <w:szCs w:val="24"/>
        </w:rPr>
        <w:t>contract terms and configuration presents significantly more risk than expected under the EPC in terms of cost overruns.  The terms the Company asks the Commission to accept in this filing place almost no exposure on the Company to that risk by asking that all capital costs be approved as reasonable, even those contingency costs that have yet to be incurred and have no specifically designated purpose.  This would negate a very important rate payer protection and shift the financial impact of additional delays and costs overruns almost entirely to ratepayers.  (</w:t>
      </w:r>
      <w:r w:rsidR="00AE34F2">
        <w:rPr>
          <w:rFonts w:ascii="Times New Roman" w:hAnsi="Times New Roman"/>
          <w:sz w:val="24"/>
          <w:szCs w:val="24"/>
        </w:rPr>
        <w:t>Tr. 1808</w:t>
      </w:r>
      <w:r w:rsidR="0087371D" w:rsidRPr="0094499E">
        <w:rPr>
          <w:rFonts w:ascii="Times New Roman" w:hAnsi="Times New Roman"/>
          <w:sz w:val="24"/>
          <w:szCs w:val="24"/>
        </w:rPr>
        <w:t>).</w:t>
      </w:r>
    </w:p>
    <w:p w:rsidR="0087371D" w:rsidRPr="0094499E" w:rsidRDefault="0094499E" w:rsidP="00BF13D7">
      <w:pPr>
        <w:spacing w:line="240" w:lineRule="auto"/>
        <w:jc w:val="both"/>
        <w:rPr>
          <w:rFonts w:ascii="Times New Roman" w:hAnsi="Times New Roman"/>
          <w:sz w:val="24"/>
          <w:szCs w:val="24"/>
        </w:rPr>
      </w:pPr>
      <w:r w:rsidRPr="0094499E">
        <w:rPr>
          <w:rFonts w:ascii="Times New Roman" w:hAnsi="Times New Roman"/>
          <w:sz w:val="24"/>
          <w:szCs w:val="24"/>
        </w:rPr>
        <w:t>1</w:t>
      </w:r>
      <w:r w:rsidR="00AA1AC1">
        <w:rPr>
          <w:rFonts w:ascii="Times New Roman" w:hAnsi="Times New Roman"/>
          <w:sz w:val="24"/>
          <w:szCs w:val="24"/>
        </w:rPr>
        <w:t>7</w:t>
      </w:r>
      <w:r w:rsidRPr="0094499E">
        <w:rPr>
          <w:rFonts w:ascii="Times New Roman" w:hAnsi="Times New Roman"/>
          <w:sz w:val="24"/>
          <w:szCs w:val="24"/>
        </w:rPr>
        <w:t>.</w:t>
      </w:r>
      <w:r w:rsidRPr="0094499E">
        <w:rPr>
          <w:rFonts w:ascii="Times New Roman" w:hAnsi="Times New Roman"/>
          <w:sz w:val="24"/>
          <w:szCs w:val="24"/>
        </w:rPr>
        <w:tab/>
      </w:r>
      <w:r w:rsidR="0087371D" w:rsidRPr="0094499E">
        <w:rPr>
          <w:rFonts w:ascii="Times New Roman" w:hAnsi="Times New Roman"/>
          <w:sz w:val="24"/>
          <w:szCs w:val="24"/>
        </w:rPr>
        <w:t>In addition to the risk of cost overruns, the loss of the EPC contract now exposes the Company and the ratepayer to additional technology risks should the Units not operate as expected.    (</w:t>
      </w:r>
      <w:r w:rsidR="00AE34F2">
        <w:rPr>
          <w:rFonts w:ascii="Times New Roman" w:hAnsi="Times New Roman"/>
          <w:sz w:val="24"/>
          <w:szCs w:val="24"/>
        </w:rPr>
        <w:t>Tr. 1809</w:t>
      </w:r>
      <w:r w:rsidR="0087371D" w:rsidRPr="0094499E">
        <w:rPr>
          <w:rFonts w:ascii="Times New Roman" w:hAnsi="Times New Roman"/>
          <w:sz w:val="24"/>
          <w:szCs w:val="24"/>
        </w:rPr>
        <w:t>).  Under the EPC, WEC bore some financial responsibility should the Project fail to function as designed; now the costs to address any such problems falls on the Company, and potentially the ratepayer.</w:t>
      </w:r>
    </w:p>
    <w:p w:rsidR="0087371D" w:rsidRPr="0094499E" w:rsidRDefault="0094499E" w:rsidP="00BF13D7">
      <w:pPr>
        <w:spacing w:line="240" w:lineRule="auto"/>
        <w:jc w:val="both"/>
        <w:rPr>
          <w:rFonts w:ascii="Times New Roman" w:hAnsi="Times New Roman"/>
          <w:sz w:val="24"/>
          <w:szCs w:val="24"/>
        </w:rPr>
      </w:pPr>
      <w:r>
        <w:rPr>
          <w:rFonts w:ascii="Times New Roman" w:hAnsi="Times New Roman"/>
          <w:sz w:val="24"/>
          <w:szCs w:val="24"/>
        </w:rPr>
        <w:t>1</w:t>
      </w:r>
      <w:r w:rsidR="00AA1AC1">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0087371D" w:rsidRPr="0094499E">
        <w:rPr>
          <w:rFonts w:ascii="Times New Roman" w:hAnsi="Times New Roman"/>
          <w:sz w:val="24"/>
          <w:szCs w:val="24"/>
        </w:rPr>
        <w:t>As a result of the delays experienced by the Project, the Company will make considerably more profit ove</w:t>
      </w:r>
      <w:r w:rsidR="0069025F">
        <w:rPr>
          <w:rFonts w:ascii="Times New Roman" w:hAnsi="Times New Roman"/>
          <w:sz w:val="24"/>
          <w:szCs w:val="24"/>
        </w:rPr>
        <w:t>r the lifecycle of the Units tha</w:t>
      </w:r>
      <w:r w:rsidR="0087371D" w:rsidRPr="0094499E">
        <w:rPr>
          <w:rFonts w:ascii="Times New Roman" w:hAnsi="Times New Roman"/>
          <w:sz w:val="24"/>
          <w:szCs w:val="24"/>
        </w:rPr>
        <w:t>n it would have had the Projected been completed on time.  The Company’s profit will increase from approximately $7.4 billion to approximately $12.6 billion over the Unit’s entire lifecycle.  (</w:t>
      </w:r>
      <w:r w:rsidR="00AE34F2">
        <w:rPr>
          <w:rFonts w:ascii="Times New Roman" w:hAnsi="Times New Roman"/>
          <w:sz w:val="24"/>
          <w:szCs w:val="24"/>
        </w:rPr>
        <w:t>Tr. 1810</w:t>
      </w:r>
      <w:r w:rsidR="0087371D" w:rsidRPr="0094499E">
        <w:rPr>
          <w:rFonts w:ascii="Times New Roman" w:hAnsi="Times New Roman"/>
          <w:sz w:val="24"/>
          <w:szCs w:val="24"/>
        </w:rPr>
        <w:t>).  The</w:t>
      </w:r>
      <w:r w:rsidR="0069025F">
        <w:rPr>
          <w:rFonts w:ascii="Times New Roman" w:hAnsi="Times New Roman"/>
          <w:sz w:val="24"/>
          <w:szCs w:val="24"/>
        </w:rPr>
        <w:t xml:space="preserve"> Company generally argues that it is</w:t>
      </w:r>
      <w:r w:rsidR="0087371D" w:rsidRPr="0094499E">
        <w:rPr>
          <w:rFonts w:ascii="Times New Roman" w:hAnsi="Times New Roman"/>
          <w:sz w:val="24"/>
          <w:szCs w:val="24"/>
        </w:rPr>
        <w:t xml:space="preserve"> being penalized sufficiently by the terms of the SIR Stipulation</w:t>
      </w:r>
      <w:r w:rsidR="007028CE">
        <w:rPr>
          <w:rFonts w:ascii="Times New Roman" w:hAnsi="Times New Roman"/>
          <w:sz w:val="24"/>
          <w:szCs w:val="24"/>
        </w:rPr>
        <w:t>.</w:t>
      </w:r>
      <w:r w:rsidR="0087371D" w:rsidRPr="0094499E">
        <w:rPr>
          <w:rFonts w:ascii="Times New Roman" w:hAnsi="Times New Roman"/>
          <w:sz w:val="24"/>
          <w:szCs w:val="24"/>
        </w:rPr>
        <w:t xml:space="preserve"> However, the Commission disagrees with the Company’s characterization of the SIR Stipulation.  This agreement, while reducing profits by $500 million, merely prevents the Company’s profit due solely to the Company’s delay, from exceeding $13 billion.  </w:t>
      </w:r>
      <w:r w:rsidR="00AE34F2" w:rsidRPr="00AE34F2">
        <w:rPr>
          <w:rFonts w:ascii="Times New Roman" w:hAnsi="Times New Roman"/>
          <w:i/>
          <w:sz w:val="24"/>
          <w:szCs w:val="24"/>
        </w:rPr>
        <w:t>Id.</w:t>
      </w:r>
      <w:r w:rsidR="0087371D" w:rsidRPr="0094499E">
        <w:rPr>
          <w:rFonts w:ascii="Times New Roman" w:hAnsi="Times New Roman"/>
          <w:sz w:val="24"/>
          <w:szCs w:val="24"/>
        </w:rPr>
        <w:t xml:space="preserve">  </w:t>
      </w:r>
    </w:p>
    <w:p w:rsidR="0087371D" w:rsidRPr="0094499E" w:rsidRDefault="00AA1AC1" w:rsidP="00BF13D7">
      <w:pPr>
        <w:spacing w:line="240" w:lineRule="auto"/>
        <w:jc w:val="both"/>
        <w:rPr>
          <w:rFonts w:ascii="Times New Roman" w:hAnsi="Times New Roman"/>
          <w:sz w:val="24"/>
          <w:szCs w:val="24"/>
        </w:rPr>
      </w:pPr>
      <w:r>
        <w:rPr>
          <w:rFonts w:ascii="Times New Roman" w:hAnsi="Times New Roman"/>
          <w:sz w:val="24"/>
          <w:szCs w:val="24"/>
        </w:rPr>
        <w:t>19</w:t>
      </w:r>
      <w:r w:rsidR="0094499E">
        <w:rPr>
          <w:rFonts w:ascii="Times New Roman" w:hAnsi="Times New Roman"/>
          <w:sz w:val="24"/>
          <w:szCs w:val="24"/>
        </w:rPr>
        <w:t>.</w:t>
      </w:r>
      <w:r w:rsidR="0094499E">
        <w:rPr>
          <w:rFonts w:ascii="Times New Roman" w:hAnsi="Times New Roman"/>
          <w:sz w:val="24"/>
          <w:szCs w:val="24"/>
        </w:rPr>
        <w:tab/>
      </w:r>
      <w:r w:rsidR="0087371D" w:rsidRPr="0094499E">
        <w:rPr>
          <w:rFonts w:ascii="Times New Roman" w:hAnsi="Times New Roman"/>
          <w:sz w:val="24"/>
          <w:szCs w:val="24"/>
        </w:rPr>
        <w:t>These cost overruns have had and will have a negative effect on ratepayers by increasing the revenue requirement and reducing the economic benefit of the Project to ratepayers.  (</w:t>
      </w:r>
      <w:r w:rsidR="00AE34F2">
        <w:rPr>
          <w:rFonts w:ascii="Times New Roman" w:hAnsi="Times New Roman"/>
          <w:sz w:val="24"/>
          <w:szCs w:val="24"/>
        </w:rPr>
        <w:t>Tr. 1810-1811</w:t>
      </w:r>
      <w:r w:rsidR="0087371D" w:rsidRPr="0094499E">
        <w:rPr>
          <w:rFonts w:ascii="Times New Roman" w:hAnsi="Times New Roman"/>
          <w:sz w:val="24"/>
          <w:szCs w:val="24"/>
        </w:rPr>
        <w:t>).</w:t>
      </w:r>
    </w:p>
    <w:p w:rsidR="0087371D" w:rsidRPr="0094499E" w:rsidRDefault="00AA1AC1" w:rsidP="00BF13D7">
      <w:pPr>
        <w:spacing w:line="240" w:lineRule="auto"/>
        <w:jc w:val="both"/>
        <w:rPr>
          <w:rFonts w:ascii="Times New Roman" w:hAnsi="Times New Roman"/>
          <w:sz w:val="24"/>
          <w:szCs w:val="24"/>
        </w:rPr>
      </w:pPr>
      <w:r>
        <w:rPr>
          <w:rFonts w:ascii="Times New Roman" w:hAnsi="Times New Roman"/>
          <w:sz w:val="24"/>
          <w:szCs w:val="24"/>
        </w:rPr>
        <w:t>20</w:t>
      </w:r>
      <w:r w:rsidR="0094499E">
        <w:rPr>
          <w:rFonts w:ascii="Times New Roman" w:hAnsi="Times New Roman"/>
          <w:sz w:val="24"/>
          <w:szCs w:val="24"/>
        </w:rPr>
        <w:t>.</w:t>
      </w:r>
      <w:r w:rsidR="0094499E">
        <w:rPr>
          <w:rFonts w:ascii="Times New Roman" w:hAnsi="Times New Roman"/>
          <w:sz w:val="24"/>
          <w:szCs w:val="24"/>
        </w:rPr>
        <w:tab/>
      </w:r>
      <w:r w:rsidR="0087371D" w:rsidRPr="0094499E">
        <w:rPr>
          <w:rFonts w:ascii="Times New Roman" w:hAnsi="Times New Roman"/>
          <w:sz w:val="24"/>
          <w:szCs w:val="24"/>
        </w:rPr>
        <w:t xml:space="preserve">The Company can provide adequate and reliable electric service without addressing national security.  (Tr. 1377).  </w:t>
      </w:r>
    </w:p>
    <w:p w:rsidR="0087371D" w:rsidRPr="0094499E" w:rsidRDefault="00AA1AC1" w:rsidP="00BF13D7">
      <w:pPr>
        <w:spacing w:line="240" w:lineRule="auto"/>
        <w:jc w:val="both"/>
        <w:rPr>
          <w:rFonts w:ascii="Times New Roman" w:hAnsi="Times New Roman"/>
          <w:sz w:val="24"/>
          <w:szCs w:val="24"/>
        </w:rPr>
      </w:pPr>
      <w:r>
        <w:rPr>
          <w:rFonts w:ascii="Times New Roman" w:hAnsi="Times New Roman"/>
          <w:sz w:val="24"/>
          <w:szCs w:val="24"/>
        </w:rPr>
        <w:t>21</w:t>
      </w:r>
      <w:r w:rsidR="0094499E">
        <w:rPr>
          <w:rFonts w:ascii="Times New Roman" w:hAnsi="Times New Roman"/>
          <w:sz w:val="24"/>
          <w:szCs w:val="24"/>
        </w:rPr>
        <w:t>.</w:t>
      </w:r>
      <w:r w:rsidR="0094499E">
        <w:rPr>
          <w:rFonts w:ascii="Times New Roman" w:hAnsi="Times New Roman"/>
          <w:sz w:val="24"/>
          <w:szCs w:val="24"/>
        </w:rPr>
        <w:tab/>
      </w:r>
      <w:r w:rsidR="0087371D" w:rsidRPr="0094499E">
        <w:rPr>
          <w:rFonts w:ascii="Times New Roman" w:hAnsi="Times New Roman"/>
          <w:sz w:val="24"/>
          <w:szCs w:val="24"/>
        </w:rPr>
        <w:t xml:space="preserve">Following WEC’s bankruptcy filing, the Company and its </w:t>
      </w:r>
      <w:r w:rsidR="00963E29">
        <w:rPr>
          <w:rFonts w:ascii="Times New Roman" w:hAnsi="Times New Roman"/>
          <w:sz w:val="24"/>
          <w:szCs w:val="24"/>
        </w:rPr>
        <w:t>C</w:t>
      </w:r>
      <w:r w:rsidR="0087371D" w:rsidRPr="0094499E">
        <w:rPr>
          <w:rFonts w:ascii="Times New Roman" w:hAnsi="Times New Roman"/>
          <w:sz w:val="24"/>
          <w:szCs w:val="24"/>
        </w:rPr>
        <w:t>o-</w:t>
      </w:r>
      <w:r w:rsidR="00963E29">
        <w:rPr>
          <w:rFonts w:ascii="Times New Roman" w:hAnsi="Times New Roman"/>
          <w:sz w:val="24"/>
          <w:szCs w:val="24"/>
        </w:rPr>
        <w:t>Owners entered in a revised Co-O</w:t>
      </w:r>
      <w:r w:rsidR="0087371D" w:rsidRPr="0094499E">
        <w:rPr>
          <w:rFonts w:ascii="Times New Roman" w:hAnsi="Times New Roman"/>
          <w:sz w:val="24"/>
          <w:szCs w:val="24"/>
        </w:rPr>
        <w:t xml:space="preserve">wners agreement with its partners in this </w:t>
      </w:r>
      <w:r w:rsidR="00963E29">
        <w:rPr>
          <w:rFonts w:ascii="Times New Roman" w:hAnsi="Times New Roman"/>
          <w:sz w:val="24"/>
          <w:szCs w:val="24"/>
        </w:rPr>
        <w:t>Project</w:t>
      </w:r>
      <w:r w:rsidR="0087371D" w:rsidRPr="0094499E">
        <w:rPr>
          <w:rFonts w:ascii="Times New Roman" w:hAnsi="Times New Roman"/>
          <w:sz w:val="24"/>
          <w:szCs w:val="24"/>
        </w:rPr>
        <w:t xml:space="preserve"> – MEAG, Oglethorpe Power, and Dalton Utilities.  (17</w:t>
      </w:r>
      <w:r w:rsidR="0087371D" w:rsidRPr="0094499E">
        <w:rPr>
          <w:rFonts w:ascii="Times New Roman" w:hAnsi="Times New Roman"/>
          <w:sz w:val="24"/>
          <w:szCs w:val="24"/>
          <w:vertAlign w:val="superscript"/>
        </w:rPr>
        <w:t>th</w:t>
      </w:r>
      <w:r w:rsidR="0087371D" w:rsidRPr="0094499E">
        <w:rPr>
          <w:rFonts w:ascii="Times New Roman" w:hAnsi="Times New Roman"/>
          <w:sz w:val="24"/>
          <w:szCs w:val="24"/>
        </w:rPr>
        <w:t xml:space="preserve"> VCM, p. 89).  The Company has requested that the reasonableness of the Project Config</w:t>
      </w:r>
      <w:r w:rsidR="00963E29">
        <w:rPr>
          <w:rFonts w:ascii="Times New Roman" w:hAnsi="Times New Roman"/>
          <w:sz w:val="24"/>
          <w:szCs w:val="24"/>
        </w:rPr>
        <w:t>uration, including the revised Co-O</w:t>
      </w:r>
      <w:r w:rsidR="0087371D" w:rsidRPr="0094499E">
        <w:rPr>
          <w:rFonts w:ascii="Times New Roman" w:hAnsi="Times New Roman"/>
          <w:sz w:val="24"/>
          <w:szCs w:val="24"/>
        </w:rPr>
        <w:t xml:space="preserve">wners agreement, Southern Nuclear Company’s Proposed Management Structure and Bechtel as a Construction Contractor be considered in this proceeding although Company Witness, David McKinney testified that the Company was not seeking approval of the </w:t>
      </w:r>
      <w:r w:rsidR="00963E29">
        <w:rPr>
          <w:rFonts w:ascii="Times New Roman" w:hAnsi="Times New Roman"/>
          <w:sz w:val="24"/>
          <w:szCs w:val="24"/>
        </w:rPr>
        <w:t>Co-Owner</w:t>
      </w:r>
      <w:r w:rsidR="0087371D" w:rsidRPr="0094499E">
        <w:rPr>
          <w:rFonts w:ascii="Times New Roman" w:hAnsi="Times New Roman"/>
          <w:sz w:val="24"/>
          <w:szCs w:val="24"/>
        </w:rPr>
        <w:t xml:space="preserve"> agreement.  (</w:t>
      </w:r>
      <w:r w:rsidR="00AE34F2">
        <w:rPr>
          <w:rFonts w:ascii="Times New Roman" w:hAnsi="Times New Roman"/>
          <w:sz w:val="24"/>
          <w:szCs w:val="24"/>
        </w:rPr>
        <w:t>Tr. 185</w:t>
      </w:r>
      <w:r w:rsidR="0087371D" w:rsidRPr="0094499E">
        <w:rPr>
          <w:rFonts w:ascii="Times New Roman" w:hAnsi="Times New Roman"/>
          <w:sz w:val="24"/>
          <w:szCs w:val="24"/>
        </w:rPr>
        <w:t xml:space="preserve">) </w:t>
      </w:r>
    </w:p>
    <w:p w:rsidR="0087371D" w:rsidRPr="0094499E" w:rsidRDefault="00AA1AC1" w:rsidP="00BF13D7">
      <w:pPr>
        <w:spacing w:line="240" w:lineRule="auto"/>
        <w:jc w:val="both"/>
        <w:rPr>
          <w:rFonts w:ascii="Times New Roman" w:hAnsi="Times New Roman"/>
          <w:sz w:val="24"/>
          <w:szCs w:val="24"/>
        </w:rPr>
      </w:pPr>
      <w:r>
        <w:rPr>
          <w:rFonts w:ascii="Times New Roman" w:hAnsi="Times New Roman"/>
          <w:sz w:val="24"/>
          <w:szCs w:val="24"/>
        </w:rPr>
        <w:t>22</w:t>
      </w:r>
      <w:r w:rsidR="0094499E">
        <w:rPr>
          <w:rFonts w:ascii="Times New Roman" w:hAnsi="Times New Roman"/>
          <w:sz w:val="24"/>
          <w:szCs w:val="24"/>
        </w:rPr>
        <w:t>.</w:t>
      </w:r>
      <w:r w:rsidR="0094499E">
        <w:rPr>
          <w:rFonts w:ascii="Times New Roman" w:hAnsi="Times New Roman"/>
          <w:sz w:val="24"/>
          <w:szCs w:val="24"/>
        </w:rPr>
        <w:tab/>
      </w:r>
      <w:r w:rsidR="00963E29">
        <w:rPr>
          <w:rFonts w:ascii="Times New Roman" w:hAnsi="Times New Roman"/>
          <w:sz w:val="24"/>
          <w:szCs w:val="24"/>
        </w:rPr>
        <w:t>The revised C</w:t>
      </w:r>
      <w:r w:rsidR="0087371D" w:rsidRPr="0094499E">
        <w:rPr>
          <w:rFonts w:ascii="Times New Roman" w:hAnsi="Times New Roman"/>
          <w:sz w:val="24"/>
          <w:szCs w:val="24"/>
        </w:rPr>
        <w:t>o-</w:t>
      </w:r>
      <w:r w:rsidR="00963E29">
        <w:rPr>
          <w:rFonts w:ascii="Times New Roman" w:hAnsi="Times New Roman"/>
          <w:sz w:val="24"/>
          <w:szCs w:val="24"/>
        </w:rPr>
        <w:t>O</w:t>
      </w:r>
      <w:r w:rsidR="0087371D" w:rsidRPr="0094499E">
        <w:rPr>
          <w:rFonts w:ascii="Times New Roman" w:hAnsi="Times New Roman"/>
          <w:sz w:val="24"/>
          <w:szCs w:val="24"/>
        </w:rPr>
        <w:t xml:space="preserve">wner agreement provides the </w:t>
      </w:r>
      <w:r w:rsidR="00963E29">
        <w:rPr>
          <w:rFonts w:ascii="Times New Roman" w:hAnsi="Times New Roman"/>
          <w:sz w:val="24"/>
          <w:szCs w:val="24"/>
        </w:rPr>
        <w:t>C</w:t>
      </w:r>
      <w:r w:rsidR="0087371D" w:rsidRPr="0094499E">
        <w:rPr>
          <w:rFonts w:ascii="Times New Roman" w:hAnsi="Times New Roman"/>
          <w:sz w:val="24"/>
          <w:szCs w:val="24"/>
        </w:rPr>
        <w:t>o-</w:t>
      </w:r>
      <w:r w:rsidR="00963E29">
        <w:rPr>
          <w:rFonts w:ascii="Times New Roman" w:hAnsi="Times New Roman"/>
          <w:sz w:val="24"/>
          <w:szCs w:val="24"/>
        </w:rPr>
        <w:t>O</w:t>
      </w:r>
      <w:r w:rsidR="0087371D" w:rsidRPr="0094499E">
        <w:rPr>
          <w:rFonts w:ascii="Times New Roman" w:hAnsi="Times New Roman"/>
          <w:sz w:val="24"/>
          <w:szCs w:val="24"/>
        </w:rPr>
        <w:t xml:space="preserve">wners the right to cancel the </w:t>
      </w:r>
      <w:r w:rsidR="00963E29">
        <w:rPr>
          <w:rFonts w:ascii="Times New Roman" w:hAnsi="Times New Roman"/>
          <w:sz w:val="24"/>
          <w:szCs w:val="24"/>
        </w:rPr>
        <w:t>Project</w:t>
      </w:r>
      <w:r w:rsidR="00FB7368" w:rsidRPr="0094499E">
        <w:rPr>
          <w:rFonts w:ascii="Times New Roman" w:hAnsi="Times New Roman"/>
          <w:sz w:val="24"/>
          <w:szCs w:val="24"/>
        </w:rPr>
        <w:t xml:space="preserve"> </w:t>
      </w:r>
      <w:r w:rsidR="0087371D" w:rsidRPr="0094499E">
        <w:rPr>
          <w:rFonts w:ascii="Times New Roman" w:hAnsi="Times New Roman"/>
          <w:sz w:val="24"/>
          <w:szCs w:val="24"/>
        </w:rPr>
        <w:t xml:space="preserve">in the event that the Commission fails “to approve Georgia Power’s share of the proposed revised cost forecast and construction schedule” or finds that “any part of Georgia Power’s capital investment or associated financing costs (other than already provided in the Stipulation) are not recoverable or will be presumed non recoverable,” unless ninety percent of the owners vote to proceed with the </w:t>
      </w:r>
      <w:r w:rsidR="00963E29">
        <w:rPr>
          <w:rFonts w:ascii="Times New Roman" w:hAnsi="Times New Roman"/>
          <w:sz w:val="24"/>
          <w:szCs w:val="24"/>
        </w:rPr>
        <w:t>Project</w:t>
      </w:r>
      <w:r w:rsidR="0087371D" w:rsidRPr="0094499E">
        <w:rPr>
          <w:rFonts w:ascii="Times New Roman" w:hAnsi="Times New Roman"/>
          <w:sz w:val="24"/>
          <w:szCs w:val="24"/>
        </w:rPr>
        <w:t>.  (17</w:t>
      </w:r>
      <w:r w:rsidR="0087371D" w:rsidRPr="0094499E">
        <w:rPr>
          <w:rFonts w:ascii="Times New Roman" w:hAnsi="Times New Roman"/>
          <w:sz w:val="24"/>
          <w:szCs w:val="24"/>
          <w:vertAlign w:val="superscript"/>
        </w:rPr>
        <w:t>th</w:t>
      </w:r>
      <w:r w:rsidR="0087371D" w:rsidRPr="0094499E">
        <w:rPr>
          <w:rFonts w:ascii="Times New Roman" w:hAnsi="Times New Roman"/>
          <w:sz w:val="24"/>
          <w:szCs w:val="24"/>
        </w:rPr>
        <w:t xml:space="preserve"> VCM Filing, p. 89).</w:t>
      </w:r>
    </w:p>
    <w:p w:rsidR="0087371D" w:rsidRPr="0094499E" w:rsidRDefault="00AA1AC1" w:rsidP="00BF13D7">
      <w:pPr>
        <w:spacing w:line="240" w:lineRule="auto"/>
        <w:jc w:val="both"/>
        <w:rPr>
          <w:rFonts w:ascii="Times New Roman" w:hAnsi="Times New Roman"/>
          <w:sz w:val="24"/>
          <w:szCs w:val="24"/>
        </w:rPr>
      </w:pPr>
      <w:r>
        <w:rPr>
          <w:rFonts w:ascii="Times New Roman" w:hAnsi="Times New Roman"/>
          <w:sz w:val="24"/>
          <w:szCs w:val="24"/>
        </w:rPr>
        <w:t>23</w:t>
      </w:r>
      <w:r w:rsidR="0094499E">
        <w:rPr>
          <w:rFonts w:ascii="Times New Roman" w:hAnsi="Times New Roman"/>
          <w:sz w:val="24"/>
          <w:szCs w:val="24"/>
        </w:rPr>
        <w:t>.</w:t>
      </w:r>
      <w:r w:rsidR="0094499E">
        <w:rPr>
          <w:rFonts w:ascii="Times New Roman" w:hAnsi="Times New Roman"/>
          <w:sz w:val="24"/>
          <w:szCs w:val="24"/>
        </w:rPr>
        <w:tab/>
      </w:r>
      <w:r w:rsidR="00963E29">
        <w:rPr>
          <w:rFonts w:ascii="Times New Roman" w:hAnsi="Times New Roman"/>
          <w:sz w:val="24"/>
          <w:szCs w:val="24"/>
        </w:rPr>
        <w:t>The Commission finds that the Co-O</w:t>
      </w:r>
      <w:r w:rsidR="0087371D" w:rsidRPr="0094499E">
        <w:rPr>
          <w:rFonts w:ascii="Times New Roman" w:hAnsi="Times New Roman"/>
          <w:sz w:val="24"/>
          <w:szCs w:val="24"/>
        </w:rPr>
        <w:t xml:space="preserve">wners agreement is unacceptable as it may impair the Company’s ability to meet its obligation to its customers.  It is this Commission’s jurisdiction and responsibility to ensure that Company’s customers do not pay unreasonable costs.  This agreement attempts to prevent the Commission from doing </w:t>
      </w:r>
      <w:r w:rsidR="00AE34F2" w:rsidRPr="0094499E">
        <w:rPr>
          <w:rFonts w:ascii="Times New Roman" w:hAnsi="Times New Roman"/>
          <w:sz w:val="24"/>
          <w:szCs w:val="24"/>
        </w:rPr>
        <w:t>so breaches</w:t>
      </w:r>
      <w:r w:rsidR="0087371D" w:rsidRPr="0094499E">
        <w:rPr>
          <w:rFonts w:ascii="Times New Roman" w:hAnsi="Times New Roman"/>
          <w:sz w:val="24"/>
          <w:szCs w:val="24"/>
        </w:rPr>
        <w:t xml:space="preserve"> the regulatory compact</w:t>
      </w:r>
      <w:r w:rsidR="00C306A9">
        <w:rPr>
          <w:rFonts w:ascii="Times New Roman" w:hAnsi="Times New Roman"/>
          <w:sz w:val="24"/>
          <w:szCs w:val="24"/>
        </w:rPr>
        <w:t>,</w:t>
      </w:r>
      <w:r w:rsidR="0087371D" w:rsidRPr="0094499E">
        <w:rPr>
          <w:rFonts w:ascii="Times New Roman" w:hAnsi="Times New Roman"/>
          <w:sz w:val="24"/>
          <w:szCs w:val="24"/>
        </w:rPr>
        <w:t xml:space="preserve"> </w:t>
      </w:r>
      <w:r w:rsidR="0069025F">
        <w:rPr>
          <w:rFonts w:ascii="Times New Roman" w:hAnsi="Times New Roman"/>
          <w:sz w:val="24"/>
          <w:szCs w:val="24"/>
        </w:rPr>
        <w:t xml:space="preserve">between the Commission and the utility, </w:t>
      </w:r>
      <w:r w:rsidR="0087371D" w:rsidRPr="0094499E">
        <w:rPr>
          <w:rFonts w:ascii="Times New Roman" w:hAnsi="Times New Roman"/>
          <w:sz w:val="24"/>
          <w:szCs w:val="24"/>
        </w:rPr>
        <w:t xml:space="preserve">and </w:t>
      </w:r>
      <w:r w:rsidR="00C306A9">
        <w:rPr>
          <w:rFonts w:ascii="Times New Roman" w:hAnsi="Times New Roman"/>
          <w:sz w:val="24"/>
          <w:szCs w:val="24"/>
        </w:rPr>
        <w:t xml:space="preserve">therefore </w:t>
      </w:r>
      <w:r w:rsidR="0087371D" w:rsidRPr="0094499E">
        <w:rPr>
          <w:rFonts w:ascii="Times New Roman" w:hAnsi="Times New Roman"/>
          <w:sz w:val="24"/>
          <w:szCs w:val="24"/>
        </w:rPr>
        <w:t>cannot be accepted.</w:t>
      </w:r>
    </w:p>
    <w:p w:rsidR="0087371D" w:rsidRPr="0094499E" w:rsidRDefault="00AA1AC1" w:rsidP="00BF13D7">
      <w:pPr>
        <w:spacing w:line="240" w:lineRule="auto"/>
        <w:jc w:val="both"/>
        <w:rPr>
          <w:rFonts w:ascii="Times New Roman" w:hAnsi="Times New Roman"/>
          <w:sz w:val="24"/>
          <w:szCs w:val="24"/>
        </w:rPr>
      </w:pPr>
      <w:r>
        <w:rPr>
          <w:rFonts w:ascii="Times New Roman" w:hAnsi="Times New Roman"/>
          <w:sz w:val="24"/>
          <w:szCs w:val="24"/>
        </w:rPr>
        <w:t>24</w:t>
      </w:r>
      <w:r w:rsidR="0094499E" w:rsidRPr="0094499E">
        <w:rPr>
          <w:rFonts w:ascii="Times New Roman" w:hAnsi="Times New Roman"/>
          <w:sz w:val="24"/>
          <w:szCs w:val="24"/>
        </w:rPr>
        <w:t>.</w:t>
      </w:r>
      <w:r w:rsidR="0094499E" w:rsidRPr="0094499E">
        <w:rPr>
          <w:rFonts w:ascii="Times New Roman" w:hAnsi="Times New Roman"/>
          <w:sz w:val="24"/>
          <w:szCs w:val="24"/>
        </w:rPr>
        <w:tab/>
      </w:r>
      <w:r w:rsidR="0087371D" w:rsidRPr="0094499E">
        <w:rPr>
          <w:rFonts w:ascii="Times New Roman" w:hAnsi="Times New Roman"/>
          <w:sz w:val="24"/>
          <w:szCs w:val="24"/>
        </w:rPr>
        <w:t xml:space="preserve">On March 29, 2017, Westinghouse Electric Company (“WEC”) declared bankruptcy and since that time, has rejected the </w:t>
      </w:r>
      <w:r w:rsidR="007028CE">
        <w:rPr>
          <w:rFonts w:ascii="Times New Roman" w:hAnsi="Times New Roman"/>
          <w:sz w:val="24"/>
          <w:szCs w:val="24"/>
        </w:rPr>
        <w:t>EPC</w:t>
      </w:r>
      <w:r w:rsidR="0087371D" w:rsidRPr="0094499E">
        <w:rPr>
          <w:rFonts w:ascii="Times New Roman" w:hAnsi="Times New Roman"/>
          <w:sz w:val="24"/>
          <w:szCs w:val="24"/>
        </w:rPr>
        <w:t xml:space="preserve"> Agreement with the Company.  (17</w:t>
      </w:r>
      <w:r w:rsidR="0087371D" w:rsidRPr="0094499E">
        <w:rPr>
          <w:rFonts w:ascii="Times New Roman" w:hAnsi="Times New Roman"/>
          <w:sz w:val="24"/>
          <w:szCs w:val="24"/>
          <w:vertAlign w:val="superscript"/>
        </w:rPr>
        <w:t>th</w:t>
      </w:r>
      <w:r w:rsidR="0087371D" w:rsidRPr="0094499E">
        <w:rPr>
          <w:rFonts w:ascii="Times New Roman" w:hAnsi="Times New Roman"/>
          <w:sz w:val="24"/>
          <w:szCs w:val="24"/>
        </w:rPr>
        <w:t xml:space="preserve"> VCM, Sec. III, p. 33, 35).  The EPC </w:t>
      </w:r>
      <w:r w:rsidR="007028CE">
        <w:rPr>
          <w:rFonts w:ascii="Times New Roman" w:hAnsi="Times New Roman"/>
          <w:sz w:val="24"/>
          <w:szCs w:val="24"/>
        </w:rPr>
        <w:t xml:space="preserve">Agreement </w:t>
      </w:r>
      <w:r w:rsidR="0087371D" w:rsidRPr="0094499E">
        <w:rPr>
          <w:rFonts w:ascii="Times New Roman" w:hAnsi="Times New Roman"/>
          <w:sz w:val="24"/>
          <w:szCs w:val="24"/>
        </w:rPr>
        <w:t>required the Contractor to absorb certain capital cost overruns.  (</w:t>
      </w:r>
      <w:r w:rsidR="00AE34F2">
        <w:rPr>
          <w:rFonts w:ascii="Times New Roman" w:hAnsi="Times New Roman"/>
          <w:sz w:val="24"/>
          <w:szCs w:val="24"/>
        </w:rPr>
        <w:t>Tr. 1807</w:t>
      </w:r>
      <w:r w:rsidR="0087371D" w:rsidRPr="0094499E">
        <w:rPr>
          <w:rFonts w:ascii="Times New Roman" w:hAnsi="Times New Roman"/>
          <w:sz w:val="24"/>
          <w:szCs w:val="24"/>
        </w:rPr>
        <w:t xml:space="preserve">). </w:t>
      </w:r>
    </w:p>
    <w:p w:rsidR="0087371D" w:rsidRPr="0094499E" w:rsidRDefault="00AA1AC1" w:rsidP="00BF13D7">
      <w:pPr>
        <w:spacing w:line="240" w:lineRule="auto"/>
        <w:jc w:val="both"/>
        <w:rPr>
          <w:rFonts w:ascii="Times New Roman" w:hAnsi="Times New Roman"/>
          <w:sz w:val="24"/>
          <w:szCs w:val="24"/>
        </w:rPr>
      </w:pPr>
      <w:r>
        <w:rPr>
          <w:rFonts w:ascii="Times New Roman" w:hAnsi="Times New Roman"/>
          <w:sz w:val="24"/>
          <w:szCs w:val="24"/>
        </w:rPr>
        <w:t>25</w:t>
      </w:r>
      <w:r w:rsidR="0094499E">
        <w:rPr>
          <w:rFonts w:ascii="Times New Roman" w:hAnsi="Times New Roman"/>
          <w:sz w:val="24"/>
          <w:szCs w:val="24"/>
        </w:rPr>
        <w:t>.</w:t>
      </w:r>
      <w:r w:rsidR="0094499E">
        <w:rPr>
          <w:rFonts w:ascii="Times New Roman" w:hAnsi="Times New Roman"/>
          <w:sz w:val="24"/>
          <w:szCs w:val="24"/>
        </w:rPr>
        <w:tab/>
      </w:r>
      <w:r w:rsidR="0087371D" w:rsidRPr="0094499E">
        <w:rPr>
          <w:rFonts w:ascii="Times New Roman" w:hAnsi="Times New Roman"/>
          <w:sz w:val="24"/>
          <w:szCs w:val="24"/>
        </w:rPr>
        <w:t xml:space="preserve">The Company transitioned to </w:t>
      </w:r>
      <w:r w:rsidR="0069025F">
        <w:rPr>
          <w:rFonts w:ascii="Times New Roman" w:hAnsi="Times New Roman"/>
          <w:sz w:val="24"/>
          <w:szCs w:val="24"/>
        </w:rPr>
        <w:t xml:space="preserve">Southern Company subsidiary </w:t>
      </w:r>
      <w:r w:rsidR="0087371D" w:rsidRPr="0094499E">
        <w:rPr>
          <w:rFonts w:ascii="Times New Roman" w:hAnsi="Times New Roman"/>
          <w:sz w:val="24"/>
          <w:szCs w:val="24"/>
        </w:rPr>
        <w:t xml:space="preserve">Southern Nuclear as the new </w:t>
      </w:r>
      <w:r w:rsidR="00963E29">
        <w:rPr>
          <w:rFonts w:ascii="Times New Roman" w:hAnsi="Times New Roman"/>
          <w:sz w:val="24"/>
          <w:szCs w:val="24"/>
        </w:rPr>
        <w:t>Project</w:t>
      </w:r>
      <w:r w:rsidR="0087371D" w:rsidRPr="0094499E">
        <w:rPr>
          <w:rFonts w:ascii="Times New Roman" w:hAnsi="Times New Roman"/>
          <w:sz w:val="24"/>
          <w:szCs w:val="24"/>
        </w:rPr>
        <w:t xml:space="preserve"> manager.  (17</w:t>
      </w:r>
      <w:r w:rsidR="0087371D" w:rsidRPr="0094499E">
        <w:rPr>
          <w:rFonts w:ascii="Times New Roman" w:hAnsi="Times New Roman"/>
          <w:sz w:val="24"/>
          <w:szCs w:val="24"/>
          <w:vertAlign w:val="superscript"/>
        </w:rPr>
        <w:t>th</w:t>
      </w:r>
      <w:r w:rsidR="0087371D" w:rsidRPr="0094499E">
        <w:rPr>
          <w:rFonts w:ascii="Times New Roman" w:hAnsi="Times New Roman"/>
          <w:sz w:val="24"/>
          <w:szCs w:val="24"/>
        </w:rPr>
        <w:t xml:space="preserve"> VCM, pp. 6-7).  They also transitioned from Fl</w:t>
      </w:r>
      <w:r w:rsidR="0069025F">
        <w:rPr>
          <w:rFonts w:ascii="Times New Roman" w:hAnsi="Times New Roman"/>
          <w:sz w:val="24"/>
          <w:szCs w:val="24"/>
        </w:rPr>
        <w:t>uo</w:t>
      </w:r>
      <w:r w:rsidR="0087371D" w:rsidRPr="0094499E">
        <w:rPr>
          <w:rFonts w:ascii="Times New Roman" w:hAnsi="Times New Roman"/>
          <w:sz w:val="24"/>
          <w:szCs w:val="24"/>
        </w:rPr>
        <w:t xml:space="preserve">r as the </w:t>
      </w:r>
      <w:r w:rsidR="00C306A9">
        <w:rPr>
          <w:rFonts w:ascii="Times New Roman" w:hAnsi="Times New Roman"/>
          <w:sz w:val="24"/>
          <w:szCs w:val="24"/>
        </w:rPr>
        <w:t xml:space="preserve">construction </w:t>
      </w:r>
      <w:r w:rsidR="0087371D" w:rsidRPr="0094499E">
        <w:rPr>
          <w:rFonts w:ascii="Times New Roman" w:hAnsi="Times New Roman"/>
          <w:sz w:val="24"/>
          <w:szCs w:val="24"/>
        </w:rPr>
        <w:t>contractor to Bechtel.   (17</w:t>
      </w:r>
      <w:r w:rsidR="0087371D" w:rsidRPr="0094499E">
        <w:rPr>
          <w:rFonts w:ascii="Times New Roman" w:hAnsi="Times New Roman"/>
          <w:sz w:val="24"/>
          <w:szCs w:val="24"/>
          <w:vertAlign w:val="superscript"/>
        </w:rPr>
        <w:t>th</w:t>
      </w:r>
      <w:r w:rsidR="0087371D" w:rsidRPr="0094499E">
        <w:rPr>
          <w:rFonts w:ascii="Times New Roman" w:hAnsi="Times New Roman"/>
          <w:sz w:val="24"/>
          <w:szCs w:val="24"/>
        </w:rPr>
        <w:t xml:space="preserve"> VCM, pp. 6-7).  Contracts between Southern Nuclear and WEC, as the technology provider and Southern Nuclear and Bechtel, as the constructor are on a “cost-plus” basis, lea</w:t>
      </w:r>
      <w:r w:rsidR="00963E29">
        <w:rPr>
          <w:rFonts w:ascii="Times New Roman" w:hAnsi="Times New Roman"/>
          <w:sz w:val="24"/>
          <w:szCs w:val="24"/>
        </w:rPr>
        <w:t>ving the Company and the other Co-O</w:t>
      </w:r>
      <w:r w:rsidR="0087371D" w:rsidRPr="0094499E">
        <w:rPr>
          <w:rFonts w:ascii="Times New Roman" w:hAnsi="Times New Roman"/>
          <w:sz w:val="24"/>
          <w:szCs w:val="24"/>
        </w:rPr>
        <w:t>wners now fully responsible for any capital cost overruns.  (</w:t>
      </w:r>
      <w:r w:rsidR="00AE34F2">
        <w:rPr>
          <w:rFonts w:ascii="Times New Roman" w:hAnsi="Times New Roman"/>
          <w:sz w:val="24"/>
          <w:szCs w:val="24"/>
        </w:rPr>
        <w:t>Tr. 1806-1807</w:t>
      </w:r>
      <w:r w:rsidR="0087371D" w:rsidRPr="0094499E">
        <w:rPr>
          <w:rFonts w:ascii="Times New Roman" w:hAnsi="Times New Roman"/>
          <w:sz w:val="24"/>
          <w:szCs w:val="24"/>
        </w:rPr>
        <w:t>).  In addition, as a result of WEC’s failure to pay several of their contractors prior to the bankruptcy filing, these contractors placed liens on the Project</w:t>
      </w:r>
      <w:r w:rsidR="00A93E14">
        <w:rPr>
          <w:rFonts w:ascii="Times New Roman" w:hAnsi="Times New Roman"/>
          <w:sz w:val="24"/>
          <w:szCs w:val="24"/>
        </w:rPr>
        <w:t>, and the</w:t>
      </w:r>
      <w:r w:rsidR="0087371D" w:rsidRPr="0094499E">
        <w:rPr>
          <w:rFonts w:ascii="Times New Roman" w:hAnsi="Times New Roman"/>
          <w:sz w:val="24"/>
          <w:szCs w:val="24"/>
        </w:rPr>
        <w:t xml:space="preserve"> Company took it upon itself to satisfy those liens so that work could continue on the Project.  (</w:t>
      </w:r>
      <w:r w:rsidR="00A93E14">
        <w:rPr>
          <w:rFonts w:ascii="Times New Roman" w:hAnsi="Times New Roman"/>
          <w:sz w:val="24"/>
          <w:szCs w:val="24"/>
        </w:rPr>
        <w:t>Tr. 1486</w:t>
      </w:r>
      <w:r w:rsidR="0087371D" w:rsidRPr="0094499E">
        <w:rPr>
          <w:rFonts w:ascii="Times New Roman" w:hAnsi="Times New Roman"/>
          <w:sz w:val="24"/>
          <w:szCs w:val="24"/>
        </w:rPr>
        <w:t>).</w:t>
      </w:r>
    </w:p>
    <w:p w:rsidR="0087371D" w:rsidRPr="0094499E" w:rsidRDefault="00AA1AC1" w:rsidP="00BF13D7">
      <w:pPr>
        <w:spacing w:line="240" w:lineRule="auto"/>
        <w:jc w:val="both"/>
        <w:rPr>
          <w:rFonts w:ascii="Times New Roman" w:hAnsi="Times New Roman"/>
          <w:sz w:val="24"/>
          <w:szCs w:val="24"/>
        </w:rPr>
      </w:pPr>
      <w:r>
        <w:rPr>
          <w:rFonts w:ascii="Times New Roman" w:hAnsi="Times New Roman"/>
          <w:sz w:val="24"/>
          <w:szCs w:val="24"/>
        </w:rPr>
        <w:t>26</w:t>
      </w:r>
      <w:r w:rsidR="0094499E">
        <w:rPr>
          <w:rFonts w:ascii="Times New Roman" w:hAnsi="Times New Roman"/>
          <w:sz w:val="24"/>
          <w:szCs w:val="24"/>
        </w:rPr>
        <w:t>.</w:t>
      </w:r>
      <w:r w:rsidR="0094499E">
        <w:rPr>
          <w:rFonts w:ascii="Times New Roman" w:hAnsi="Times New Roman"/>
          <w:sz w:val="24"/>
          <w:szCs w:val="24"/>
        </w:rPr>
        <w:tab/>
      </w:r>
      <w:r w:rsidR="0087371D" w:rsidRPr="0094499E">
        <w:rPr>
          <w:rFonts w:ascii="Times New Roman" w:hAnsi="Times New Roman"/>
          <w:sz w:val="24"/>
          <w:szCs w:val="24"/>
        </w:rPr>
        <w:t xml:space="preserve">As a result of the bankruptcy, Southern Nuclear performed an evaluation of the </w:t>
      </w:r>
      <w:r w:rsidR="00963E29">
        <w:rPr>
          <w:rFonts w:ascii="Times New Roman" w:hAnsi="Times New Roman"/>
          <w:sz w:val="24"/>
          <w:szCs w:val="24"/>
        </w:rPr>
        <w:t>Project</w:t>
      </w:r>
      <w:r w:rsidR="0087371D" w:rsidRPr="0094499E">
        <w:rPr>
          <w:rFonts w:ascii="Times New Roman" w:hAnsi="Times New Roman"/>
          <w:sz w:val="24"/>
          <w:szCs w:val="24"/>
        </w:rPr>
        <w:t xml:space="preserve"> and developed its own Estimate to Complete.  (</w:t>
      </w:r>
      <w:r w:rsidR="00B10AFA">
        <w:rPr>
          <w:rFonts w:ascii="Times New Roman" w:hAnsi="Times New Roman"/>
          <w:sz w:val="24"/>
          <w:szCs w:val="24"/>
        </w:rPr>
        <w:t>17</w:t>
      </w:r>
      <w:r w:rsidR="00B10AFA" w:rsidRPr="00B10AFA">
        <w:rPr>
          <w:rFonts w:ascii="Times New Roman" w:hAnsi="Times New Roman"/>
          <w:sz w:val="24"/>
          <w:szCs w:val="24"/>
          <w:vertAlign w:val="superscript"/>
        </w:rPr>
        <w:t>th</w:t>
      </w:r>
      <w:r w:rsidR="00B10AFA">
        <w:rPr>
          <w:rFonts w:ascii="Times New Roman" w:hAnsi="Times New Roman"/>
          <w:sz w:val="24"/>
          <w:szCs w:val="24"/>
        </w:rPr>
        <w:t xml:space="preserve"> </w:t>
      </w:r>
      <w:r w:rsidR="0087371D" w:rsidRPr="0094499E">
        <w:rPr>
          <w:rFonts w:ascii="Times New Roman" w:hAnsi="Times New Roman"/>
          <w:sz w:val="24"/>
          <w:szCs w:val="24"/>
        </w:rPr>
        <w:t>VCM, p. 46).  Southern Nuclear determined that the costs and completion schedules previously presented to this Commission were not feasible.  (17</w:t>
      </w:r>
      <w:r w:rsidR="0087371D" w:rsidRPr="0094499E">
        <w:rPr>
          <w:rFonts w:ascii="Times New Roman" w:hAnsi="Times New Roman"/>
          <w:sz w:val="24"/>
          <w:szCs w:val="24"/>
          <w:vertAlign w:val="superscript"/>
        </w:rPr>
        <w:t>th</w:t>
      </w:r>
      <w:r w:rsidR="0087371D" w:rsidRPr="0094499E">
        <w:rPr>
          <w:rFonts w:ascii="Times New Roman" w:hAnsi="Times New Roman"/>
          <w:sz w:val="24"/>
          <w:szCs w:val="24"/>
        </w:rPr>
        <w:t xml:space="preserve"> VCM, p. 48).  In fact, it appears to this Commission that the presented schedule may never have been feasible or achievable.   It also appears that the Company has finally compelled its contractors to develop a Level 3 </w:t>
      </w:r>
      <w:r w:rsidR="00C306A9">
        <w:rPr>
          <w:rFonts w:ascii="Times New Roman" w:hAnsi="Times New Roman"/>
          <w:sz w:val="24"/>
          <w:szCs w:val="24"/>
        </w:rPr>
        <w:t>IPS</w:t>
      </w:r>
      <w:r w:rsidR="00581CAE">
        <w:rPr>
          <w:rFonts w:ascii="Times New Roman" w:hAnsi="Times New Roman"/>
          <w:sz w:val="24"/>
          <w:szCs w:val="24"/>
        </w:rPr>
        <w:t xml:space="preserve">, </w:t>
      </w:r>
      <w:r w:rsidR="0087371D" w:rsidRPr="0094499E">
        <w:rPr>
          <w:rFonts w:ascii="Times New Roman" w:hAnsi="Times New Roman"/>
          <w:sz w:val="24"/>
          <w:szCs w:val="24"/>
        </w:rPr>
        <w:t xml:space="preserve">although it is not clear whether the schedule is finally complete. </w:t>
      </w:r>
      <w:r w:rsidR="00581CAE" w:rsidRPr="0094499E">
        <w:rPr>
          <w:rFonts w:ascii="Times New Roman" w:hAnsi="Times New Roman"/>
          <w:sz w:val="24"/>
          <w:szCs w:val="24"/>
        </w:rPr>
        <w:t xml:space="preserve"> (17</w:t>
      </w:r>
      <w:r w:rsidR="00581CAE" w:rsidRPr="0094499E">
        <w:rPr>
          <w:rFonts w:ascii="Times New Roman" w:hAnsi="Times New Roman"/>
          <w:sz w:val="24"/>
          <w:szCs w:val="24"/>
          <w:vertAlign w:val="superscript"/>
        </w:rPr>
        <w:t>th</w:t>
      </w:r>
      <w:r w:rsidR="00581CAE" w:rsidRPr="0094499E">
        <w:rPr>
          <w:rFonts w:ascii="Times New Roman" w:hAnsi="Times New Roman"/>
          <w:sz w:val="24"/>
          <w:szCs w:val="24"/>
        </w:rPr>
        <w:t xml:space="preserve"> VCM, p. 48)</w:t>
      </w:r>
    </w:p>
    <w:p w:rsidR="00581CAE" w:rsidRDefault="00AA1AC1" w:rsidP="00BF13D7">
      <w:pPr>
        <w:spacing w:line="240" w:lineRule="auto"/>
        <w:jc w:val="both"/>
        <w:rPr>
          <w:rFonts w:ascii="Times New Roman" w:hAnsi="Times New Roman"/>
          <w:sz w:val="24"/>
          <w:szCs w:val="24"/>
        </w:rPr>
      </w:pPr>
      <w:r>
        <w:rPr>
          <w:rFonts w:ascii="Times New Roman" w:hAnsi="Times New Roman"/>
          <w:sz w:val="24"/>
          <w:szCs w:val="24"/>
        </w:rPr>
        <w:t>27.</w:t>
      </w:r>
      <w:r>
        <w:rPr>
          <w:rFonts w:ascii="Times New Roman" w:hAnsi="Times New Roman"/>
          <w:sz w:val="24"/>
          <w:szCs w:val="24"/>
        </w:rPr>
        <w:tab/>
      </w:r>
      <w:r w:rsidRPr="0094499E">
        <w:rPr>
          <w:rFonts w:ascii="Times New Roman" w:hAnsi="Times New Roman"/>
          <w:sz w:val="24"/>
          <w:szCs w:val="24"/>
        </w:rPr>
        <w:t>At Certification, the Company projected that Unit 3 would be in commercial operation in April 2016.  In this filing, Company now forecasts that Unit 3 will be in commercial operation in November 2021. (17</w:t>
      </w:r>
      <w:r w:rsidRPr="0094499E">
        <w:rPr>
          <w:rFonts w:ascii="Times New Roman" w:hAnsi="Times New Roman"/>
          <w:sz w:val="24"/>
          <w:szCs w:val="24"/>
          <w:vertAlign w:val="superscript"/>
        </w:rPr>
        <w:t>th</w:t>
      </w:r>
      <w:r w:rsidRPr="0094499E">
        <w:rPr>
          <w:rFonts w:ascii="Times New Roman" w:hAnsi="Times New Roman"/>
          <w:sz w:val="24"/>
          <w:szCs w:val="24"/>
        </w:rPr>
        <w:t xml:space="preserve"> VCM, p. 7).  At Certification, Unit 4 was projected to be in commercial operation by April 2017.  Currently, the Company shows that it expects Unit 4 to be in commercial operation by November 2022.  (17</w:t>
      </w:r>
      <w:r w:rsidRPr="0094499E">
        <w:rPr>
          <w:rFonts w:ascii="Times New Roman" w:hAnsi="Times New Roman"/>
          <w:sz w:val="24"/>
          <w:szCs w:val="24"/>
          <w:vertAlign w:val="superscript"/>
        </w:rPr>
        <w:t>th</w:t>
      </w:r>
      <w:r w:rsidRPr="0094499E">
        <w:rPr>
          <w:rFonts w:ascii="Times New Roman" w:hAnsi="Times New Roman"/>
          <w:sz w:val="24"/>
          <w:szCs w:val="24"/>
        </w:rPr>
        <w:t xml:space="preserve"> VCM, p. 7). As late as </w:t>
      </w:r>
      <w:r w:rsidR="00A93E14">
        <w:rPr>
          <w:rFonts w:ascii="Times New Roman" w:hAnsi="Times New Roman"/>
          <w:sz w:val="24"/>
          <w:szCs w:val="24"/>
        </w:rPr>
        <w:t>December, 2016</w:t>
      </w:r>
      <w:r w:rsidRPr="0094499E">
        <w:rPr>
          <w:rFonts w:ascii="Times New Roman" w:hAnsi="Times New Roman"/>
          <w:sz w:val="24"/>
          <w:szCs w:val="24"/>
        </w:rPr>
        <w:t xml:space="preserve">, the </w:t>
      </w:r>
      <w:r w:rsidRPr="00581CAE">
        <w:rPr>
          <w:rFonts w:ascii="Times New Roman" w:hAnsi="Times New Roman"/>
          <w:sz w:val="24"/>
          <w:szCs w:val="24"/>
        </w:rPr>
        <w:t xml:space="preserve">Company </w:t>
      </w:r>
      <w:r w:rsidR="00C306A9" w:rsidRPr="00581CAE">
        <w:rPr>
          <w:rFonts w:ascii="Times New Roman" w:hAnsi="Times New Roman"/>
          <w:sz w:val="24"/>
          <w:szCs w:val="24"/>
        </w:rPr>
        <w:t>unequivocally stated</w:t>
      </w:r>
      <w:r w:rsidRPr="0094499E">
        <w:rPr>
          <w:rFonts w:ascii="Times New Roman" w:hAnsi="Times New Roman"/>
          <w:b/>
          <w:sz w:val="24"/>
          <w:szCs w:val="24"/>
        </w:rPr>
        <w:t xml:space="preserve"> </w:t>
      </w:r>
      <w:r w:rsidRPr="0094499E">
        <w:rPr>
          <w:rFonts w:ascii="Times New Roman" w:hAnsi="Times New Roman"/>
          <w:sz w:val="24"/>
          <w:szCs w:val="24"/>
        </w:rPr>
        <w:t xml:space="preserve">that </w:t>
      </w:r>
      <w:r w:rsidR="00A93E14">
        <w:rPr>
          <w:rFonts w:ascii="Times New Roman" w:hAnsi="Times New Roman"/>
          <w:sz w:val="24"/>
          <w:szCs w:val="24"/>
        </w:rPr>
        <w:t xml:space="preserve">the Company was </w:t>
      </w:r>
      <w:r w:rsidR="00A93E14" w:rsidRPr="00215B57">
        <w:rPr>
          <w:rFonts w:ascii="Times New Roman" w:hAnsi="Times New Roman"/>
          <w:sz w:val="24"/>
          <w:szCs w:val="24"/>
        </w:rPr>
        <w:t xml:space="preserve">“going to get this </w:t>
      </w:r>
      <w:r w:rsidR="00963E29">
        <w:rPr>
          <w:rFonts w:ascii="Times New Roman" w:hAnsi="Times New Roman"/>
          <w:sz w:val="24"/>
          <w:szCs w:val="24"/>
        </w:rPr>
        <w:t>Project</w:t>
      </w:r>
      <w:r w:rsidR="00A93E14" w:rsidRPr="00215B57">
        <w:rPr>
          <w:rFonts w:ascii="Times New Roman" w:hAnsi="Times New Roman"/>
          <w:sz w:val="24"/>
          <w:szCs w:val="24"/>
        </w:rPr>
        <w:t xml:space="preserve"> completed by December 30</w:t>
      </w:r>
      <w:r w:rsidR="00A93E14" w:rsidRPr="00215B57">
        <w:rPr>
          <w:rFonts w:ascii="Times New Roman" w:hAnsi="Times New Roman"/>
          <w:sz w:val="24"/>
          <w:szCs w:val="24"/>
          <w:vertAlign w:val="superscript"/>
        </w:rPr>
        <w:t>th</w:t>
      </w:r>
      <w:r w:rsidR="00A93E14" w:rsidRPr="00215B57">
        <w:rPr>
          <w:rFonts w:ascii="Times New Roman" w:hAnsi="Times New Roman"/>
          <w:sz w:val="24"/>
          <w:szCs w:val="24"/>
        </w:rPr>
        <w:t xml:space="preserve"> of 2020.” </w:t>
      </w:r>
      <w:r w:rsidR="00A93E14">
        <w:rPr>
          <w:rFonts w:ascii="Times New Roman" w:hAnsi="Times New Roman"/>
          <w:sz w:val="24"/>
          <w:szCs w:val="24"/>
        </w:rPr>
        <w:t>(Tr. 556)</w:t>
      </w:r>
      <w:r w:rsidR="00A93E14" w:rsidRPr="00215B57">
        <w:rPr>
          <w:rFonts w:ascii="Times New Roman" w:hAnsi="Times New Roman"/>
          <w:sz w:val="24"/>
          <w:szCs w:val="24"/>
        </w:rPr>
        <w:t xml:space="preserve"> </w:t>
      </w:r>
    </w:p>
    <w:p w:rsidR="00AA1AC1" w:rsidRPr="0094499E" w:rsidRDefault="00AA1AC1" w:rsidP="00BF13D7">
      <w:pPr>
        <w:spacing w:line="240" w:lineRule="auto"/>
        <w:jc w:val="both"/>
        <w:rPr>
          <w:rFonts w:ascii="Times New Roman" w:hAnsi="Times New Roman"/>
          <w:sz w:val="24"/>
          <w:szCs w:val="24"/>
        </w:rPr>
      </w:pPr>
      <w:r>
        <w:rPr>
          <w:rFonts w:ascii="Times New Roman" w:hAnsi="Times New Roman"/>
          <w:sz w:val="24"/>
          <w:szCs w:val="24"/>
        </w:rPr>
        <w:t xml:space="preserve">28.  </w:t>
      </w:r>
      <w:r w:rsidR="0087371D" w:rsidRPr="0094499E">
        <w:rPr>
          <w:rFonts w:ascii="Times New Roman" w:hAnsi="Times New Roman"/>
          <w:sz w:val="24"/>
          <w:szCs w:val="24"/>
        </w:rPr>
        <w:t>The Company now forecasts a schedule delay of 68 months from the Certification dates of 2016/2017, up from 39 months in the 16</w:t>
      </w:r>
      <w:r w:rsidR="0087371D" w:rsidRPr="0094499E">
        <w:rPr>
          <w:rFonts w:ascii="Times New Roman" w:hAnsi="Times New Roman"/>
          <w:sz w:val="24"/>
          <w:szCs w:val="24"/>
          <w:vertAlign w:val="superscript"/>
        </w:rPr>
        <w:t>th</w:t>
      </w:r>
      <w:r w:rsidR="0087371D" w:rsidRPr="0094499E">
        <w:rPr>
          <w:rFonts w:ascii="Times New Roman" w:hAnsi="Times New Roman"/>
          <w:sz w:val="24"/>
          <w:szCs w:val="24"/>
        </w:rPr>
        <w:t xml:space="preserve"> VCM filing, and a Total Project Cost of $12.2 billion, which has doubled from $6.1 billion at Certification.  (</w:t>
      </w:r>
      <w:r w:rsidR="00A93E14">
        <w:rPr>
          <w:rFonts w:ascii="Times New Roman" w:hAnsi="Times New Roman"/>
          <w:sz w:val="24"/>
          <w:szCs w:val="24"/>
        </w:rPr>
        <w:t>Tr. 1786</w:t>
      </w:r>
      <w:r w:rsidR="0087371D" w:rsidRPr="0094499E">
        <w:rPr>
          <w:rFonts w:ascii="Times New Roman" w:hAnsi="Times New Roman"/>
          <w:sz w:val="24"/>
          <w:szCs w:val="24"/>
        </w:rPr>
        <w:t xml:space="preserve">).  </w:t>
      </w:r>
      <w:r>
        <w:rPr>
          <w:rFonts w:ascii="Times New Roman" w:hAnsi="Times New Roman"/>
          <w:sz w:val="24"/>
          <w:szCs w:val="24"/>
        </w:rPr>
        <w:t>The breakdown of the $12.2 billion is $8.8 billion is Project construction/capital costs, and $3.4 billion in financing costs.  (17</w:t>
      </w:r>
      <w:r w:rsidRPr="00AA1AC1">
        <w:rPr>
          <w:rFonts w:ascii="Times New Roman" w:hAnsi="Times New Roman"/>
          <w:sz w:val="24"/>
          <w:szCs w:val="24"/>
          <w:vertAlign w:val="superscript"/>
        </w:rPr>
        <w:t>th</w:t>
      </w:r>
      <w:r>
        <w:rPr>
          <w:rFonts w:ascii="Times New Roman" w:hAnsi="Times New Roman"/>
          <w:sz w:val="24"/>
          <w:szCs w:val="24"/>
        </w:rPr>
        <w:t xml:space="preserve"> VCM) </w:t>
      </w:r>
    </w:p>
    <w:p w:rsidR="0087371D" w:rsidRPr="0094499E" w:rsidRDefault="0094499E" w:rsidP="00BF13D7">
      <w:pPr>
        <w:spacing w:line="240" w:lineRule="auto"/>
        <w:jc w:val="both"/>
        <w:rPr>
          <w:rFonts w:ascii="Times New Roman" w:hAnsi="Times New Roman"/>
          <w:sz w:val="24"/>
          <w:szCs w:val="24"/>
        </w:rPr>
      </w:pPr>
      <w:r>
        <w:rPr>
          <w:rFonts w:ascii="Times New Roman" w:hAnsi="Times New Roman"/>
          <w:sz w:val="24"/>
          <w:szCs w:val="24"/>
        </w:rPr>
        <w:t>29.</w:t>
      </w:r>
      <w:r>
        <w:rPr>
          <w:rFonts w:ascii="Times New Roman" w:hAnsi="Times New Roman"/>
          <w:sz w:val="24"/>
          <w:szCs w:val="24"/>
        </w:rPr>
        <w:tab/>
      </w:r>
      <w:r w:rsidR="0087371D" w:rsidRPr="0094499E">
        <w:rPr>
          <w:rFonts w:ascii="Times New Roman" w:hAnsi="Times New Roman"/>
          <w:sz w:val="24"/>
          <w:szCs w:val="24"/>
        </w:rPr>
        <w:t>The $8.8 billion in construction/capital costs does not take into account the potential receipt of the Toshiba Parental Guarantee. (</w:t>
      </w:r>
      <w:r w:rsidR="00A93E14">
        <w:rPr>
          <w:rFonts w:ascii="Times New Roman" w:hAnsi="Times New Roman"/>
          <w:sz w:val="24"/>
          <w:szCs w:val="24"/>
        </w:rPr>
        <w:t>Tr. 1786, 1791</w:t>
      </w:r>
      <w:r w:rsidR="0087371D" w:rsidRPr="0094499E">
        <w:rPr>
          <w:rFonts w:ascii="Times New Roman" w:hAnsi="Times New Roman"/>
          <w:sz w:val="24"/>
          <w:szCs w:val="24"/>
        </w:rPr>
        <w:t xml:space="preserve">).  Should </w:t>
      </w:r>
      <w:r w:rsidR="00A93E14" w:rsidRPr="0094499E">
        <w:rPr>
          <w:rFonts w:ascii="Times New Roman" w:hAnsi="Times New Roman"/>
          <w:sz w:val="24"/>
          <w:szCs w:val="24"/>
        </w:rPr>
        <w:t>Toshiba Parental Guarantee</w:t>
      </w:r>
      <w:r w:rsidR="0087371D" w:rsidRPr="0094499E">
        <w:rPr>
          <w:rFonts w:ascii="Times New Roman" w:hAnsi="Times New Roman"/>
          <w:sz w:val="24"/>
          <w:szCs w:val="24"/>
        </w:rPr>
        <w:t xml:space="preserve"> be received, the total construction/capital costs would be reduced to $7.1 billion.  (</w:t>
      </w:r>
      <w:r w:rsidR="00A93E14">
        <w:rPr>
          <w:rFonts w:ascii="Times New Roman" w:hAnsi="Times New Roman"/>
          <w:sz w:val="24"/>
          <w:szCs w:val="24"/>
        </w:rPr>
        <w:t>Tr. 1786</w:t>
      </w:r>
      <w:r w:rsidR="0087371D" w:rsidRPr="0094499E">
        <w:rPr>
          <w:rFonts w:ascii="Times New Roman" w:hAnsi="Times New Roman"/>
          <w:sz w:val="24"/>
          <w:szCs w:val="24"/>
        </w:rPr>
        <w:t>).  The $3.4 billion in financing costs projected by the Company already assumes the receipt of the Toshiba Parental Guarantee. (</w:t>
      </w:r>
      <w:r w:rsidR="008178D3">
        <w:rPr>
          <w:rFonts w:ascii="Times New Roman" w:hAnsi="Times New Roman"/>
          <w:sz w:val="24"/>
          <w:szCs w:val="24"/>
        </w:rPr>
        <w:t>Tr. 1786</w:t>
      </w:r>
      <w:r w:rsidR="0087371D" w:rsidRPr="0094499E">
        <w:rPr>
          <w:rFonts w:ascii="Times New Roman" w:hAnsi="Times New Roman"/>
          <w:sz w:val="24"/>
          <w:szCs w:val="24"/>
        </w:rPr>
        <w:t>).</w:t>
      </w:r>
      <w:r w:rsidR="00AA1AC1">
        <w:rPr>
          <w:rFonts w:ascii="Times New Roman" w:hAnsi="Times New Roman"/>
          <w:sz w:val="24"/>
          <w:szCs w:val="24"/>
        </w:rPr>
        <w:t xml:space="preserve"> </w:t>
      </w:r>
      <w:r w:rsidR="0087371D" w:rsidRPr="0094499E">
        <w:rPr>
          <w:rFonts w:ascii="Times New Roman" w:hAnsi="Times New Roman"/>
          <w:sz w:val="24"/>
          <w:szCs w:val="24"/>
        </w:rPr>
        <w:t>The Commission finds that as presented by the Company, completion of the Project is uneconomic as compared to cancellation of the Project.  (</w:t>
      </w:r>
      <w:r w:rsidR="00A93E14">
        <w:rPr>
          <w:rFonts w:ascii="Times New Roman" w:hAnsi="Times New Roman"/>
          <w:sz w:val="24"/>
          <w:szCs w:val="24"/>
        </w:rPr>
        <w:t>Tr. 1788</w:t>
      </w:r>
      <w:r w:rsidR="0087371D" w:rsidRPr="0094499E">
        <w:rPr>
          <w:rFonts w:ascii="Times New Roman" w:hAnsi="Times New Roman"/>
          <w:sz w:val="24"/>
          <w:szCs w:val="24"/>
        </w:rPr>
        <w:t>)</w:t>
      </w:r>
    </w:p>
    <w:p w:rsidR="0087371D" w:rsidRPr="00215B57" w:rsidRDefault="0087371D" w:rsidP="00BF13D7">
      <w:pPr>
        <w:spacing w:line="240" w:lineRule="auto"/>
        <w:contextualSpacing/>
        <w:jc w:val="both"/>
        <w:rPr>
          <w:rFonts w:ascii="Times New Roman" w:hAnsi="Times New Roman"/>
          <w:sz w:val="24"/>
          <w:szCs w:val="24"/>
        </w:rPr>
      </w:pPr>
    </w:p>
    <w:p w:rsidR="0087371D" w:rsidRDefault="0087371D" w:rsidP="00BF13D7">
      <w:pPr>
        <w:spacing w:line="240" w:lineRule="auto"/>
        <w:ind w:left="720"/>
        <w:contextualSpacing/>
        <w:jc w:val="center"/>
        <w:rPr>
          <w:rFonts w:ascii="Times New Roman" w:hAnsi="Times New Roman"/>
          <w:b/>
          <w:sz w:val="24"/>
          <w:szCs w:val="24"/>
          <w:u w:val="single"/>
        </w:rPr>
      </w:pPr>
      <w:r w:rsidRPr="00215B57">
        <w:rPr>
          <w:rFonts w:ascii="Times New Roman" w:hAnsi="Times New Roman"/>
          <w:b/>
          <w:sz w:val="24"/>
          <w:szCs w:val="24"/>
          <w:u w:val="single"/>
        </w:rPr>
        <w:t>The Project was not managed effectively, this failure resulted in delays and increased costs, and the Company had some control over these increased costs.</w:t>
      </w:r>
    </w:p>
    <w:p w:rsidR="00215B57" w:rsidRPr="00215B57" w:rsidRDefault="00215B57" w:rsidP="00BF13D7">
      <w:pPr>
        <w:spacing w:line="240" w:lineRule="auto"/>
        <w:ind w:left="720"/>
        <w:contextualSpacing/>
        <w:jc w:val="center"/>
        <w:rPr>
          <w:rFonts w:ascii="Times New Roman" w:hAnsi="Times New Roman"/>
          <w:b/>
          <w:sz w:val="24"/>
          <w:szCs w:val="24"/>
          <w:u w:val="single"/>
        </w:rPr>
      </w:pPr>
    </w:p>
    <w:p w:rsidR="0087371D" w:rsidRPr="00215B57" w:rsidRDefault="0094499E" w:rsidP="00BF13D7">
      <w:pPr>
        <w:spacing w:line="240" w:lineRule="auto"/>
        <w:ind w:left="720" w:hanging="720"/>
        <w:contextualSpacing/>
        <w:jc w:val="both"/>
        <w:rPr>
          <w:rFonts w:ascii="Times New Roman" w:hAnsi="Times New Roman"/>
          <w:sz w:val="24"/>
          <w:szCs w:val="24"/>
        </w:rPr>
      </w:pPr>
      <w:r>
        <w:rPr>
          <w:rFonts w:ascii="Times New Roman" w:hAnsi="Times New Roman"/>
          <w:sz w:val="24"/>
          <w:szCs w:val="24"/>
        </w:rPr>
        <w:t>30</w:t>
      </w:r>
      <w:r w:rsidR="0087371D" w:rsidRPr="00215B57">
        <w:rPr>
          <w:rFonts w:ascii="Times New Roman" w:hAnsi="Times New Roman"/>
          <w:sz w:val="24"/>
          <w:szCs w:val="24"/>
        </w:rPr>
        <w:t>.</w:t>
      </w:r>
      <w:r w:rsidR="0087371D" w:rsidRPr="00215B57">
        <w:rPr>
          <w:rFonts w:ascii="Times New Roman" w:hAnsi="Times New Roman"/>
          <w:b/>
          <w:sz w:val="24"/>
          <w:szCs w:val="24"/>
        </w:rPr>
        <w:tab/>
      </w:r>
      <w:r w:rsidR="0087371D" w:rsidRPr="00215B57">
        <w:rPr>
          <w:rFonts w:ascii="Times New Roman" w:hAnsi="Times New Roman"/>
          <w:sz w:val="24"/>
          <w:szCs w:val="24"/>
        </w:rPr>
        <w:t xml:space="preserve">Based on the record, the Commission finds that the Project was not effectively managed.  The Commission finds the following costs are as a result of the </w:t>
      </w:r>
      <w:r w:rsidR="0069025F">
        <w:rPr>
          <w:rFonts w:ascii="Times New Roman" w:hAnsi="Times New Roman"/>
          <w:sz w:val="24"/>
          <w:szCs w:val="24"/>
        </w:rPr>
        <w:t xml:space="preserve">ineffective practices </w:t>
      </w:r>
      <w:r w:rsidR="0087371D" w:rsidRPr="00215B57">
        <w:rPr>
          <w:rFonts w:ascii="Times New Roman" w:hAnsi="Times New Roman"/>
          <w:sz w:val="24"/>
          <w:szCs w:val="24"/>
        </w:rPr>
        <w:t>by the Company and the delay caused by those practices:</w:t>
      </w:r>
    </w:p>
    <w:p w:rsidR="0094499E" w:rsidRDefault="0094499E" w:rsidP="00BF13D7">
      <w:pPr>
        <w:spacing w:line="240" w:lineRule="auto"/>
        <w:ind w:left="720"/>
        <w:jc w:val="both"/>
        <w:rPr>
          <w:rFonts w:ascii="Times New Roman" w:hAnsi="Times New Roman"/>
          <w:sz w:val="24"/>
          <w:szCs w:val="24"/>
        </w:rPr>
      </w:pPr>
    </w:p>
    <w:p w:rsidR="0087371D" w:rsidRPr="0094499E" w:rsidRDefault="0094499E" w:rsidP="00BF13D7">
      <w:pPr>
        <w:spacing w:line="240" w:lineRule="auto"/>
        <w:ind w:left="72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87371D" w:rsidRPr="0094499E">
        <w:rPr>
          <w:rFonts w:ascii="Times New Roman" w:hAnsi="Times New Roman"/>
          <w:sz w:val="24"/>
          <w:szCs w:val="24"/>
        </w:rPr>
        <w:t>Increases in cost due to construction mismanagement;</w:t>
      </w:r>
    </w:p>
    <w:p w:rsidR="0087371D" w:rsidRPr="0094499E" w:rsidRDefault="0094499E" w:rsidP="00BF13D7">
      <w:pPr>
        <w:spacing w:line="240" w:lineRule="auto"/>
        <w:ind w:left="72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0087371D" w:rsidRPr="0094499E">
        <w:rPr>
          <w:rFonts w:ascii="Times New Roman" w:hAnsi="Times New Roman"/>
          <w:sz w:val="24"/>
          <w:szCs w:val="24"/>
        </w:rPr>
        <w:t>Increase in direct engineering, procurement and construction costs of the Project due to the loss of the fixed price cost protection after bankruptcy and the rejection of the EPC agreement by WEC;</w:t>
      </w:r>
    </w:p>
    <w:p w:rsidR="0087371D" w:rsidRPr="0094499E" w:rsidRDefault="0094499E" w:rsidP="00BF13D7">
      <w:pPr>
        <w:spacing w:line="240" w:lineRule="auto"/>
        <w:ind w:left="720"/>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0087371D" w:rsidRPr="0094499E">
        <w:rPr>
          <w:rFonts w:ascii="Times New Roman" w:hAnsi="Times New Roman"/>
          <w:sz w:val="24"/>
          <w:szCs w:val="24"/>
        </w:rPr>
        <w:t xml:space="preserve">Increase in direct engineering, procurement and construction costs of the Project due to the transition from WEC to Southern Nuclear and from Flour to Bechtel, including incremental coasts to restructure management of the </w:t>
      </w:r>
      <w:r w:rsidR="00963E29">
        <w:rPr>
          <w:rFonts w:ascii="Times New Roman" w:hAnsi="Times New Roman"/>
          <w:sz w:val="24"/>
          <w:szCs w:val="24"/>
        </w:rPr>
        <w:t>Project</w:t>
      </w:r>
      <w:r w:rsidR="0087371D" w:rsidRPr="0094499E">
        <w:rPr>
          <w:rFonts w:ascii="Times New Roman" w:hAnsi="Times New Roman"/>
          <w:sz w:val="24"/>
          <w:szCs w:val="24"/>
        </w:rPr>
        <w:t>, develop construction schedule, EPC cost estimates, etc;</w:t>
      </w:r>
    </w:p>
    <w:p w:rsidR="0087371D" w:rsidRPr="0094499E" w:rsidRDefault="0094499E" w:rsidP="00BF13D7">
      <w:pPr>
        <w:spacing w:line="240" w:lineRule="auto"/>
        <w:ind w:left="720"/>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0087371D" w:rsidRPr="0094499E">
        <w:rPr>
          <w:rFonts w:ascii="Times New Roman" w:hAnsi="Times New Roman"/>
          <w:sz w:val="24"/>
          <w:szCs w:val="24"/>
        </w:rPr>
        <w:t>Increases in owners’ costs due to schedule delays;</w:t>
      </w:r>
    </w:p>
    <w:p w:rsidR="0087371D" w:rsidRPr="0094499E" w:rsidRDefault="0094499E" w:rsidP="00BF13D7">
      <w:pPr>
        <w:spacing w:line="240" w:lineRule="auto"/>
        <w:ind w:left="720"/>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r w:rsidR="0087371D" w:rsidRPr="0094499E">
        <w:rPr>
          <w:rFonts w:ascii="Times New Roman" w:hAnsi="Times New Roman"/>
          <w:sz w:val="24"/>
          <w:szCs w:val="24"/>
        </w:rPr>
        <w:t xml:space="preserve">Increases in direct engineering, procurement and construction costs of the Project due to the Company’s payment of contractor liens against WEC; </w:t>
      </w:r>
    </w:p>
    <w:p w:rsidR="0087371D" w:rsidRPr="0094499E" w:rsidRDefault="0094499E" w:rsidP="00BF13D7">
      <w:pPr>
        <w:spacing w:line="240" w:lineRule="auto"/>
        <w:ind w:left="720"/>
        <w:jc w:val="both"/>
        <w:rPr>
          <w:rFonts w:ascii="Times New Roman" w:hAnsi="Times New Roman"/>
          <w:sz w:val="24"/>
          <w:szCs w:val="24"/>
        </w:rPr>
      </w:pPr>
      <w:r>
        <w:rPr>
          <w:rFonts w:ascii="Times New Roman" w:hAnsi="Times New Roman"/>
          <w:sz w:val="24"/>
          <w:szCs w:val="24"/>
        </w:rPr>
        <w:t>f.</w:t>
      </w:r>
      <w:r>
        <w:rPr>
          <w:rFonts w:ascii="Times New Roman" w:hAnsi="Times New Roman"/>
          <w:sz w:val="24"/>
          <w:szCs w:val="24"/>
        </w:rPr>
        <w:tab/>
      </w:r>
      <w:r w:rsidR="0087371D" w:rsidRPr="0094499E">
        <w:rPr>
          <w:rFonts w:ascii="Times New Roman" w:hAnsi="Times New Roman"/>
          <w:sz w:val="24"/>
          <w:szCs w:val="24"/>
        </w:rPr>
        <w:t>Increases in financing costs incurred through the NCCR and capitalized AFUDC due to the schedule delays and increased construction costs;</w:t>
      </w:r>
    </w:p>
    <w:p w:rsidR="0087371D" w:rsidRPr="0094499E" w:rsidRDefault="0094499E" w:rsidP="00BF13D7">
      <w:pPr>
        <w:spacing w:line="240" w:lineRule="auto"/>
        <w:ind w:left="720"/>
        <w:jc w:val="both"/>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r>
      <w:r w:rsidR="0087371D" w:rsidRPr="0094499E">
        <w:rPr>
          <w:rFonts w:ascii="Times New Roman" w:hAnsi="Times New Roman"/>
          <w:sz w:val="24"/>
          <w:szCs w:val="24"/>
        </w:rPr>
        <w:t xml:space="preserve">Increases in ad valorem taxes due to schedule delays and increased construction costs; </w:t>
      </w:r>
    </w:p>
    <w:p w:rsidR="0087371D" w:rsidRPr="0094499E" w:rsidRDefault="0094499E" w:rsidP="00BF13D7">
      <w:pPr>
        <w:spacing w:line="240" w:lineRule="auto"/>
        <w:ind w:left="720"/>
        <w:jc w:val="both"/>
        <w:rPr>
          <w:rFonts w:ascii="Times New Roman" w:hAnsi="Times New Roman"/>
          <w:sz w:val="24"/>
          <w:szCs w:val="24"/>
        </w:rPr>
      </w:pPr>
      <w:r>
        <w:rPr>
          <w:rFonts w:ascii="Times New Roman" w:hAnsi="Times New Roman"/>
          <w:sz w:val="24"/>
          <w:szCs w:val="24"/>
        </w:rPr>
        <w:t>h.</w:t>
      </w:r>
      <w:r>
        <w:rPr>
          <w:rFonts w:ascii="Times New Roman" w:hAnsi="Times New Roman"/>
          <w:sz w:val="24"/>
          <w:szCs w:val="24"/>
        </w:rPr>
        <w:tab/>
      </w:r>
      <w:r w:rsidR="0087371D" w:rsidRPr="0094499E">
        <w:rPr>
          <w:rFonts w:ascii="Times New Roman" w:hAnsi="Times New Roman"/>
          <w:sz w:val="24"/>
          <w:szCs w:val="24"/>
        </w:rPr>
        <w:t>Increases in ratepayer revenue requirements due to the lost bonus depreciation and production tax credit tax benefits due to the schedule delays</w:t>
      </w:r>
    </w:p>
    <w:p w:rsidR="0087371D" w:rsidRPr="0094499E" w:rsidRDefault="0094499E" w:rsidP="00BF13D7">
      <w:pPr>
        <w:spacing w:line="240" w:lineRule="auto"/>
        <w:ind w:left="720"/>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0087371D" w:rsidRPr="0094499E">
        <w:rPr>
          <w:rFonts w:ascii="Times New Roman" w:hAnsi="Times New Roman"/>
          <w:sz w:val="24"/>
          <w:szCs w:val="24"/>
        </w:rPr>
        <w:t>Contingency costs that have not yet been incurred and for which no particular purpose or use has been identified.</w:t>
      </w:r>
    </w:p>
    <w:p w:rsidR="0087371D" w:rsidRPr="00215B57" w:rsidRDefault="0087371D" w:rsidP="00BF13D7">
      <w:pPr>
        <w:pStyle w:val="ListParagraph"/>
        <w:spacing w:line="240" w:lineRule="auto"/>
        <w:ind w:left="1080"/>
        <w:jc w:val="both"/>
        <w:rPr>
          <w:rFonts w:ascii="Times New Roman" w:hAnsi="Times New Roman" w:cs="Times New Roman"/>
          <w:sz w:val="24"/>
          <w:szCs w:val="24"/>
        </w:rPr>
      </w:pPr>
    </w:p>
    <w:p w:rsidR="0087371D" w:rsidRPr="0094499E" w:rsidRDefault="0094499E" w:rsidP="00BF13D7">
      <w:pPr>
        <w:spacing w:line="240" w:lineRule="auto"/>
        <w:jc w:val="both"/>
        <w:rPr>
          <w:rFonts w:ascii="Times New Roman" w:hAnsi="Times New Roman"/>
          <w:sz w:val="24"/>
          <w:szCs w:val="24"/>
        </w:rPr>
      </w:pPr>
      <w:r>
        <w:rPr>
          <w:rFonts w:ascii="Times New Roman" w:hAnsi="Times New Roman"/>
          <w:sz w:val="24"/>
          <w:szCs w:val="24"/>
        </w:rPr>
        <w:t>31.</w:t>
      </w:r>
      <w:r>
        <w:rPr>
          <w:rFonts w:ascii="Times New Roman" w:hAnsi="Times New Roman"/>
          <w:sz w:val="24"/>
          <w:szCs w:val="24"/>
        </w:rPr>
        <w:tab/>
      </w:r>
      <w:r w:rsidR="0087371D" w:rsidRPr="0094499E">
        <w:rPr>
          <w:rFonts w:ascii="Times New Roman" w:hAnsi="Times New Roman"/>
          <w:sz w:val="24"/>
          <w:szCs w:val="24"/>
        </w:rPr>
        <w:t xml:space="preserve">The loss of the bonus depreciation and PTCs are a direct result of the failure of the Contractor to meet its EPC obligations and the failure of the Company to ensure that the Project is completed before </w:t>
      </w:r>
      <w:r w:rsidR="00C306A9">
        <w:rPr>
          <w:rFonts w:ascii="Times New Roman" w:hAnsi="Times New Roman"/>
          <w:sz w:val="24"/>
          <w:szCs w:val="24"/>
        </w:rPr>
        <w:t>these</w:t>
      </w:r>
      <w:r w:rsidR="00C306A9" w:rsidRPr="0094499E">
        <w:rPr>
          <w:rFonts w:ascii="Times New Roman" w:hAnsi="Times New Roman"/>
          <w:sz w:val="24"/>
          <w:szCs w:val="24"/>
        </w:rPr>
        <w:t xml:space="preserve"> </w:t>
      </w:r>
      <w:r w:rsidR="0087371D" w:rsidRPr="0094499E">
        <w:rPr>
          <w:rFonts w:ascii="Times New Roman" w:hAnsi="Times New Roman"/>
          <w:sz w:val="24"/>
          <w:szCs w:val="24"/>
        </w:rPr>
        <w:t xml:space="preserve">tax benefits </w:t>
      </w:r>
      <w:r w:rsidR="00C306A9">
        <w:rPr>
          <w:rFonts w:ascii="Times New Roman" w:hAnsi="Times New Roman"/>
          <w:sz w:val="24"/>
          <w:szCs w:val="24"/>
        </w:rPr>
        <w:t>sunset</w:t>
      </w:r>
      <w:r w:rsidR="00C306A9" w:rsidRPr="0094499E">
        <w:rPr>
          <w:rFonts w:ascii="Times New Roman" w:hAnsi="Times New Roman"/>
          <w:sz w:val="24"/>
          <w:szCs w:val="24"/>
        </w:rPr>
        <w:t xml:space="preserve"> </w:t>
      </w:r>
      <w:r w:rsidR="00C306A9">
        <w:rPr>
          <w:rFonts w:ascii="Times New Roman" w:hAnsi="Times New Roman"/>
          <w:sz w:val="24"/>
          <w:szCs w:val="24"/>
        </w:rPr>
        <w:t>on December 31,</w:t>
      </w:r>
      <w:r w:rsidR="00C306A9" w:rsidRPr="0094499E">
        <w:rPr>
          <w:rFonts w:ascii="Times New Roman" w:hAnsi="Times New Roman"/>
          <w:sz w:val="24"/>
          <w:szCs w:val="24"/>
        </w:rPr>
        <w:t xml:space="preserve"> </w:t>
      </w:r>
      <w:r w:rsidR="0087371D" w:rsidRPr="0094499E">
        <w:rPr>
          <w:rFonts w:ascii="Times New Roman" w:hAnsi="Times New Roman"/>
          <w:sz w:val="24"/>
          <w:szCs w:val="24"/>
        </w:rPr>
        <w:t xml:space="preserve">2020.   </w:t>
      </w:r>
    </w:p>
    <w:p w:rsidR="0087371D" w:rsidRPr="00215B57" w:rsidRDefault="0087371D" w:rsidP="00BF13D7">
      <w:pPr>
        <w:spacing w:line="240" w:lineRule="auto"/>
        <w:contextualSpacing/>
        <w:jc w:val="both"/>
        <w:rPr>
          <w:rFonts w:ascii="Times New Roman" w:hAnsi="Times New Roman"/>
          <w:sz w:val="24"/>
          <w:szCs w:val="24"/>
        </w:rPr>
      </w:pPr>
    </w:p>
    <w:p w:rsidR="0087371D" w:rsidRDefault="0094499E" w:rsidP="00BF13D7">
      <w:pPr>
        <w:spacing w:line="240" w:lineRule="auto"/>
        <w:contextualSpacing/>
        <w:jc w:val="both"/>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r>
      <w:r w:rsidR="0087371D" w:rsidRPr="00215B57">
        <w:rPr>
          <w:rFonts w:ascii="Times New Roman" w:hAnsi="Times New Roman"/>
          <w:sz w:val="24"/>
          <w:szCs w:val="24"/>
        </w:rPr>
        <w:t>In deciding whether particular costs are unreasonable and as such should not be borne by the Company’s ratepayers, it is appropriate for the Commission to consider the Company’s own testimony regarding the Company’s efforts to manage the Project. Beginning with the certification proceeding in Docket No. 27800, and continuing throughout each of the VCM proceedings, the Company has made representations regarding the cost and schedule to complete the Project that have not been fulfilled. During the certification proceeding, the Company’s panel witnesses of Edward Day III and Jeffrey Burleson testified that the Company would be “active managers” of the Project and that the Company would “…have people on site day to day, week to week, month to month, that are watching the processes, watching the schedules, getting advanced schedules for us to look and see if they’re appropriate and we’re going to hold the consortium accountable for those schedules and methods and processes…”  (Tr. 1507) As discussed below, these statements are inconsistent with the actions that were actually taken by the Company or its contractor.</w:t>
      </w:r>
    </w:p>
    <w:p w:rsidR="0094499E" w:rsidRPr="00215B57" w:rsidRDefault="0094499E" w:rsidP="00BF13D7">
      <w:pPr>
        <w:spacing w:line="240" w:lineRule="auto"/>
        <w:contextualSpacing/>
        <w:jc w:val="both"/>
        <w:rPr>
          <w:rFonts w:ascii="Times New Roman" w:hAnsi="Times New Roman"/>
          <w:sz w:val="24"/>
          <w:szCs w:val="24"/>
        </w:rPr>
      </w:pPr>
    </w:p>
    <w:p w:rsidR="0094499E" w:rsidRDefault="0094499E" w:rsidP="00BF13D7">
      <w:pPr>
        <w:spacing w:line="240" w:lineRule="auto"/>
        <w:contextualSpacing/>
        <w:jc w:val="both"/>
        <w:rPr>
          <w:rFonts w:ascii="Times New Roman" w:hAnsi="Times New Roman"/>
          <w:sz w:val="24"/>
          <w:szCs w:val="24"/>
        </w:rPr>
      </w:pPr>
      <w:r>
        <w:rPr>
          <w:rFonts w:ascii="Times New Roman" w:hAnsi="Times New Roman"/>
          <w:sz w:val="24"/>
          <w:szCs w:val="24"/>
        </w:rPr>
        <w:t>33</w:t>
      </w:r>
      <w:r w:rsidR="0087371D" w:rsidRPr="00215B57">
        <w:rPr>
          <w:rFonts w:ascii="Times New Roman" w:hAnsi="Times New Roman"/>
          <w:sz w:val="24"/>
          <w:szCs w:val="24"/>
        </w:rPr>
        <w:t>.</w:t>
      </w:r>
      <w:r w:rsidR="00581CAE">
        <w:rPr>
          <w:rFonts w:ascii="Times New Roman" w:hAnsi="Times New Roman"/>
          <w:sz w:val="24"/>
          <w:szCs w:val="24"/>
        </w:rPr>
        <w:tab/>
      </w:r>
      <w:r w:rsidR="0087371D" w:rsidRPr="00215B57">
        <w:rPr>
          <w:rFonts w:ascii="Times New Roman" w:hAnsi="Times New Roman"/>
          <w:sz w:val="24"/>
          <w:szCs w:val="24"/>
        </w:rPr>
        <w:t>Throughout the</w:t>
      </w:r>
      <w:r w:rsidR="00581CAE">
        <w:rPr>
          <w:rFonts w:ascii="Times New Roman" w:hAnsi="Times New Roman"/>
          <w:sz w:val="24"/>
          <w:szCs w:val="24"/>
        </w:rPr>
        <w:t xml:space="preserve"> first seven</w:t>
      </w:r>
      <w:r w:rsidR="0087371D" w:rsidRPr="00215B57">
        <w:rPr>
          <w:rFonts w:ascii="Times New Roman" w:hAnsi="Times New Roman"/>
          <w:sz w:val="24"/>
          <w:szCs w:val="24"/>
        </w:rPr>
        <w:t xml:space="preserve"> semi-annual VCM proceedings</w:t>
      </w:r>
      <w:r w:rsidR="00581CAE">
        <w:rPr>
          <w:rFonts w:ascii="Times New Roman" w:hAnsi="Times New Roman"/>
          <w:sz w:val="24"/>
          <w:szCs w:val="24"/>
        </w:rPr>
        <w:t>,</w:t>
      </w:r>
      <w:r w:rsidR="0087371D" w:rsidRPr="00215B57">
        <w:rPr>
          <w:rFonts w:ascii="Times New Roman" w:hAnsi="Times New Roman"/>
          <w:sz w:val="24"/>
          <w:szCs w:val="24"/>
        </w:rPr>
        <w:t xml:space="preserve"> the Company continued to represent to this Commission that it was actively managing the Project, would obtain schedules from its contractor, and would hold the contractor responsible for those schedules. (Tr. 557, 1508) Despite these representations, </w:t>
      </w:r>
      <w:r w:rsidR="00581CAE">
        <w:rPr>
          <w:rFonts w:ascii="Times New Roman" w:hAnsi="Times New Roman"/>
          <w:sz w:val="24"/>
          <w:szCs w:val="24"/>
        </w:rPr>
        <w:t xml:space="preserve">the </w:t>
      </w:r>
      <w:r w:rsidR="00963E29">
        <w:rPr>
          <w:rFonts w:ascii="Times New Roman" w:hAnsi="Times New Roman"/>
          <w:sz w:val="24"/>
          <w:szCs w:val="24"/>
        </w:rPr>
        <w:t>Project</w:t>
      </w:r>
      <w:r w:rsidR="00581CAE">
        <w:rPr>
          <w:rFonts w:ascii="Times New Roman" w:hAnsi="Times New Roman"/>
          <w:sz w:val="24"/>
          <w:szCs w:val="24"/>
        </w:rPr>
        <w:t xml:space="preserve"> has not been effectively managed, and </w:t>
      </w:r>
      <w:r w:rsidR="0087371D" w:rsidRPr="00215B57">
        <w:rPr>
          <w:rFonts w:ascii="Times New Roman" w:hAnsi="Times New Roman"/>
          <w:sz w:val="24"/>
          <w:szCs w:val="24"/>
        </w:rPr>
        <w:t xml:space="preserve">it is apparent that there has never been a realistic, and therefore achievable, fully integrated schedule for the Project. </w:t>
      </w:r>
    </w:p>
    <w:p w:rsidR="0087371D" w:rsidRPr="00215B57" w:rsidRDefault="0087371D" w:rsidP="00BF13D7">
      <w:pPr>
        <w:spacing w:line="240" w:lineRule="auto"/>
        <w:contextualSpacing/>
        <w:jc w:val="both"/>
        <w:rPr>
          <w:rFonts w:ascii="Times New Roman" w:hAnsi="Times New Roman"/>
          <w:sz w:val="24"/>
          <w:szCs w:val="24"/>
        </w:rPr>
      </w:pPr>
      <w:r w:rsidRPr="00215B57">
        <w:rPr>
          <w:rFonts w:ascii="Times New Roman" w:hAnsi="Times New Roman"/>
          <w:sz w:val="24"/>
          <w:szCs w:val="24"/>
        </w:rPr>
        <w:t xml:space="preserve"> </w:t>
      </w:r>
    </w:p>
    <w:p w:rsidR="0087371D" w:rsidRDefault="0094499E" w:rsidP="00BF13D7">
      <w:pPr>
        <w:spacing w:line="240" w:lineRule="auto"/>
        <w:contextualSpacing/>
        <w:jc w:val="both"/>
        <w:rPr>
          <w:rFonts w:ascii="Times New Roman" w:hAnsi="Times New Roman"/>
          <w:sz w:val="24"/>
          <w:szCs w:val="24"/>
        </w:rPr>
      </w:pPr>
      <w:r>
        <w:rPr>
          <w:rFonts w:ascii="Times New Roman" w:hAnsi="Times New Roman"/>
          <w:sz w:val="24"/>
          <w:szCs w:val="24"/>
        </w:rPr>
        <w:t>34</w:t>
      </w:r>
      <w:r w:rsidR="0087371D" w:rsidRPr="00215B57">
        <w:rPr>
          <w:rFonts w:ascii="Times New Roman" w:hAnsi="Times New Roman"/>
          <w:sz w:val="24"/>
          <w:szCs w:val="24"/>
        </w:rPr>
        <w:t>.</w:t>
      </w:r>
      <w:r w:rsidR="0087371D" w:rsidRPr="00215B57">
        <w:rPr>
          <w:rFonts w:ascii="Times New Roman" w:hAnsi="Times New Roman"/>
          <w:sz w:val="24"/>
          <w:szCs w:val="24"/>
        </w:rPr>
        <w:tab/>
        <w:t xml:space="preserve">As early as the Fourth VCM Staff witness Jacobs began warning of schedule slippage and the contractor’s inability to recover, or mitigate, that slippage, testifying as to his concern about the contractor’s ability to achieve the schedule compression and recover the </w:t>
      </w:r>
      <w:r w:rsidR="00963E29">
        <w:rPr>
          <w:rFonts w:ascii="Times New Roman" w:hAnsi="Times New Roman"/>
          <w:sz w:val="24"/>
          <w:szCs w:val="24"/>
        </w:rPr>
        <w:t>Project</w:t>
      </w:r>
      <w:r w:rsidR="0087371D" w:rsidRPr="00215B57">
        <w:rPr>
          <w:rFonts w:ascii="Times New Roman" w:hAnsi="Times New Roman"/>
          <w:sz w:val="24"/>
          <w:szCs w:val="24"/>
        </w:rPr>
        <w:t xml:space="preserve"> commercial operation date</w:t>
      </w:r>
      <w:r w:rsidR="0077550E">
        <w:rPr>
          <w:rFonts w:ascii="Times New Roman" w:hAnsi="Times New Roman"/>
          <w:sz w:val="24"/>
          <w:szCs w:val="24"/>
        </w:rPr>
        <w:t>s</w:t>
      </w:r>
      <w:r w:rsidR="0069025F">
        <w:rPr>
          <w:rFonts w:ascii="Times New Roman" w:hAnsi="Times New Roman"/>
          <w:sz w:val="24"/>
          <w:szCs w:val="24"/>
        </w:rPr>
        <w:t xml:space="preserve">, given its </w:t>
      </w:r>
      <w:r w:rsidR="0087371D" w:rsidRPr="00215B57">
        <w:rPr>
          <w:rFonts w:ascii="Times New Roman" w:hAnsi="Times New Roman"/>
          <w:sz w:val="24"/>
          <w:szCs w:val="24"/>
        </w:rPr>
        <w:t xml:space="preserve">performance to date in essentially all areas of the Project. (Tr. 1515) Despite the concerns raised by Staff, the Company continued, through the Sixth VCM proceeding, to represent that the Project was on time and on budget.  (Tr. 1755)  In the Sixth VCM Staff witness Jacobs testified that it was imprudent for the Project to not have a proper integrated </w:t>
      </w:r>
      <w:r w:rsidR="00963E29">
        <w:rPr>
          <w:rFonts w:ascii="Times New Roman" w:hAnsi="Times New Roman"/>
          <w:sz w:val="24"/>
          <w:szCs w:val="24"/>
        </w:rPr>
        <w:t>Project</w:t>
      </w:r>
      <w:r w:rsidR="0087371D" w:rsidRPr="00215B57">
        <w:rPr>
          <w:rFonts w:ascii="Times New Roman" w:hAnsi="Times New Roman"/>
          <w:sz w:val="24"/>
          <w:szCs w:val="24"/>
        </w:rPr>
        <w:t xml:space="preserve"> schedule, a point that was re-iterated by Staff in the Eleventh VCM when Staff testified that “</w:t>
      </w:r>
      <w:r w:rsidR="0087371D" w:rsidRPr="00215B57">
        <w:rPr>
          <w:rFonts w:ascii="Times New Roman" w:hAnsi="Times New Roman"/>
          <w:bCs/>
          <w:sz w:val="24"/>
          <w:szCs w:val="24"/>
        </w:rPr>
        <w:t>…</w:t>
      </w:r>
      <w:r w:rsidR="0087371D" w:rsidRPr="00215B57">
        <w:rPr>
          <w:rFonts w:ascii="Times New Roman" w:hAnsi="Times New Roman"/>
          <w:sz w:val="24"/>
          <w:szCs w:val="24"/>
        </w:rPr>
        <w:t xml:space="preserve">it runs counter to any prudent </w:t>
      </w:r>
      <w:r w:rsidR="00963E29">
        <w:rPr>
          <w:rFonts w:ascii="Times New Roman" w:hAnsi="Times New Roman"/>
          <w:sz w:val="24"/>
          <w:szCs w:val="24"/>
        </w:rPr>
        <w:t>Project</w:t>
      </w:r>
      <w:r w:rsidR="0087371D" w:rsidRPr="00215B57">
        <w:rPr>
          <w:rFonts w:ascii="Times New Roman" w:hAnsi="Times New Roman"/>
          <w:sz w:val="24"/>
          <w:szCs w:val="24"/>
        </w:rPr>
        <w:t xml:space="preserve"> management, nuclear or otherwise, the Engineering, Procurement, and Construction Agreement requirements, and the nuclear industry’s own self-funded INPO Principles for Excellence in Nuclear Project Construction.” (Tr. 1516) </w:t>
      </w:r>
    </w:p>
    <w:p w:rsidR="0077550E" w:rsidRPr="00215B57" w:rsidRDefault="0077550E" w:rsidP="00BF13D7">
      <w:pPr>
        <w:spacing w:line="240" w:lineRule="auto"/>
        <w:contextualSpacing/>
        <w:jc w:val="both"/>
        <w:rPr>
          <w:rFonts w:ascii="Times New Roman" w:hAnsi="Times New Roman"/>
          <w:sz w:val="24"/>
          <w:szCs w:val="24"/>
        </w:rPr>
      </w:pPr>
    </w:p>
    <w:p w:rsidR="0094499E" w:rsidRDefault="0094499E" w:rsidP="00BF13D7">
      <w:pPr>
        <w:spacing w:line="240" w:lineRule="auto"/>
        <w:contextualSpacing/>
        <w:jc w:val="both"/>
        <w:rPr>
          <w:rFonts w:ascii="Times New Roman" w:hAnsi="Times New Roman"/>
          <w:sz w:val="24"/>
          <w:szCs w:val="24"/>
        </w:rPr>
      </w:pPr>
      <w:r>
        <w:rPr>
          <w:rFonts w:ascii="Times New Roman" w:hAnsi="Times New Roman"/>
          <w:sz w:val="24"/>
          <w:szCs w:val="24"/>
        </w:rPr>
        <w:t>35.</w:t>
      </w:r>
      <w:r w:rsidR="0087371D" w:rsidRPr="00215B57">
        <w:rPr>
          <w:rFonts w:ascii="Times New Roman" w:hAnsi="Times New Roman"/>
          <w:sz w:val="24"/>
          <w:szCs w:val="24"/>
        </w:rPr>
        <w:tab/>
        <w:t xml:space="preserve">This pattern has continued throughout the VCM proceedings, with the Company providing testimony that the Project schedule was achievable, followed by testimony that the </w:t>
      </w:r>
      <w:r w:rsidR="0087371D" w:rsidRPr="00215B57">
        <w:rPr>
          <w:rFonts w:ascii="Times New Roman" w:hAnsi="Times New Roman"/>
          <w:kern w:val="2"/>
          <w:sz w:val="24"/>
          <w:szCs w:val="24"/>
        </w:rPr>
        <w:t xml:space="preserve">in-service dates were no longer achievable. </w:t>
      </w:r>
      <w:r w:rsidR="0087371D" w:rsidRPr="00215B57">
        <w:rPr>
          <w:rFonts w:ascii="Times New Roman" w:hAnsi="Times New Roman"/>
          <w:sz w:val="24"/>
          <w:szCs w:val="24"/>
        </w:rPr>
        <w:t xml:space="preserve">This trend of Project slippage has continued through this proceeding, with the Company requesting an additional </w:t>
      </w:r>
      <w:r w:rsidR="00581CAE">
        <w:rPr>
          <w:rFonts w:ascii="Times New Roman" w:hAnsi="Times New Roman"/>
          <w:sz w:val="24"/>
          <w:szCs w:val="24"/>
        </w:rPr>
        <w:t>68</w:t>
      </w:r>
      <w:r w:rsidR="0087371D" w:rsidRPr="00215B57">
        <w:rPr>
          <w:rFonts w:ascii="Times New Roman" w:hAnsi="Times New Roman"/>
          <w:sz w:val="24"/>
          <w:szCs w:val="24"/>
        </w:rPr>
        <w:t xml:space="preserve"> month delay for each Unit to reach commercial operation.  </w:t>
      </w:r>
      <w:r w:rsidR="0087371D" w:rsidRPr="00215B57">
        <w:rPr>
          <w:rFonts w:ascii="Times New Roman" w:hAnsi="Times New Roman"/>
          <w:kern w:val="2"/>
          <w:sz w:val="24"/>
          <w:szCs w:val="24"/>
        </w:rPr>
        <w:t xml:space="preserve">Just as predictably, </w:t>
      </w:r>
      <w:r w:rsidR="0087371D" w:rsidRPr="00215B57">
        <w:rPr>
          <w:rFonts w:ascii="Times New Roman" w:hAnsi="Times New Roman"/>
          <w:sz w:val="24"/>
          <w:szCs w:val="24"/>
        </w:rPr>
        <w:t>the Staff has consistently and accurately testified as to its concerns regarding the ability of the Company and its contractor to achieve the continually changing in-service dates of Units 3 and 4.</w:t>
      </w:r>
    </w:p>
    <w:p w:rsidR="0087371D" w:rsidRPr="00215B57" w:rsidRDefault="0087371D" w:rsidP="00BF13D7">
      <w:pPr>
        <w:spacing w:line="240" w:lineRule="auto"/>
        <w:contextualSpacing/>
        <w:jc w:val="both"/>
        <w:rPr>
          <w:rFonts w:ascii="Times New Roman" w:hAnsi="Times New Roman"/>
          <w:sz w:val="24"/>
          <w:szCs w:val="24"/>
        </w:rPr>
      </w:pPr>
      <w:r w:rsidRPr="00215B57">
        <w:rPr>
          <w:rFonts w:ascii="Times New Roman" w:hAnsi="Times New Roman"/>
          <w:sz w:val="24"/>
          <w:szCs w:val="24"/>
        </w:rPr>
        <w:t xml:space="preserve"> </w:t>
      </w:r>
    </w:p>
    <w:p w:rsidR="0094499E" w:rsidRDefault="0094499E" w:rsidP="00BF13D7">
      <w:pPr>
        <w:tabs>
          <w:tab w:val="left" w:pos="-720"/>
        </w:tabs>
        <w:suppressAutoHyphens/>
        <w:spacing w:line="240" w:lineRule="auto"/>
        <w:contextualSpacing/>
        <w:jc w:val="both"/>
        <w:rPr>
          <w:rFonts w:ascii="Times New Roman" w:hAnsi="Times New Roman"/>
          <w:kern w:val="2"/>
          <w:sz w:val="24"/>
          <w:szCs w:val="24"/>
        </w:rPr>
      </w:pPr>
      <w:r>
        <w:rPr>
          <w:rFonts w:ascii="Times New Roman" w:hAnsi="Times New Roman"/>
          <w:kern w:val="2"/>
          <w:sz w:val="24"/>
          <w:szCs w:val="24"/>
        </w:rPr>
        <w:t>36</w:t>
      </w:r>
      <w:r w:rsidR="0087371D" w:rsidRPr="00215B57">
        <w:rPr>
          <w:rFonts w:ascii="Times New Roman" w:hAnsi="Times New Roman"/>
          <w:kern w:val="2"/>
          <w:sz w:val="24"/>
          <w:szCs w:val="24"/>
        </w:rPr>
        <w:t>.</w:t>
      </w:r>
      <w:r w:rsidR="0087371D" w:rsidRPr="00215B57">
        <w:rPr>
          <w:rFonts w:ascii="Times New Roman" w:hAnsi="Times New Roman"/>
          <w:kern w:val="2"/>
          <w:sz w:val="24"/>
          <w:szCs w:val="24"/>
        </w:rPr>
        <w:tab/>
        <w:t xml:space="preserve">The Company’s failure to provide accurate schedules to this Commission, despite the concerns consistently raised by Staff, has had a significant impact on the Project as well as this Commission’s considerations. Certainly, had the Company actively managed the Project, insisted that its contractor provide accurate integrated </w:t>
      </w:r>
      <w:r w:rsidR="00963E29">
        <w:rPr>
          <w:rFonts w:ascii="Times New Roman" w:hAnsi="Times New Roman"/>
          <w:kern w:val="2"/>
          <w:sz w:val="24"/>
          <w:szCs w:val="24"/>
        </w:rPr>
        <w:t>Project</w:t>
      </w:r>
      <w:r w:rsidR="0087371D" w:rsidRPr="00215B57">
        <w:rPr>
          <w:rFonts w:ascii="Times New Roman" w:hAnsi="Times New Roman"/>
          <w:kern w:val="2"/>
          <w:sz w:val="24"/>
          <w:szCs w:val="24"/>
        </w:rPr>
        <w:t xml:space="preserve"> schedules and held the contractor to those schedules, this Commission would have been advised far earlier that the Project could not be completed within the original certified amount. As it was, until the Company filed a petition to increase the certified amount in the Eighth VCM proceeding, the Commission was acting under the Company’s assurance that there was a greater than 50% chance that the Project would be completed for less than the certified amount. Had this Commission been advised before additional billions of dollars had be</w:t>
      </w:r>
      <w:r w:rsidR="00DC1330">
        <w:rPr>
          <w:rFonts w:ascii="Times New Roman" w:hAnsi="Times New Roman"/>
          <w:kern w:val="2"/>
          <w:sz w:val="24"/>
          <w:szCs w:val="24"/>
        </w:rPr>
        <w:t>en</w:t>
      </w:r>
      <w:r w:rsidR="0087371D" w:rsidRPr="00215B57">
        <w:rPr>
          <w:rFonts w:ascii="Times New Roman" w:hAnsi="Times New Roman"/>
          <w:kern w:val="2"/>
          <w:sz w:val="24"/>
          <w:szCs w:val="24"/>
        </w:rPr>
        <w:t xml:space="preserve"> expended that the Project could not be completed within the original certified amount</w:t>
      </w:r>
      <w:r w:rsidR="0077550E">
        <w:rPr>
          <w:rFonts w:ascii="Times New Roman" w:hAnsi="Times New Roman"/>
          <w:kern w:val="2"/>
          <w:sz w:val="24"/>
          <w:szCs w:val="24"/>
        </w:rPr>
        <w:t xml:space="preserve"> and schedule</w:t>
      </w:r>
      <w:r w:rsidR="0087371D" w:rsidRPr="00215B57">
        <w:rPr>
          <w:rFonts w:ascii="Times New Roman" w:hAnsi="Times New Roman"/>
          <w:kern w:val="2"/>
          <w:sz w:val="24"/>
          <w:szCs w:val="24"/>
        </w:rPr>
        <w:t xml:space="preserve">, the economic evaluation of the Project would have looked far different and may have suggested a different decision regarding going forward with the Project. Moreover, the failure to have accurate integrated </w:t>
      </w:r>
      <w:r w:rsidR="00963E29">
        <w:rPr>
          <w:rFonts w:ascii="Times New Roman" w:hAnsi="Times New Roman"/>
          <w:kern w:val="2"/>
          <w:sz w:val="24"/>
          <w:szCs w:val="24"/>
        </w:rPr>
        <w:t>Project</w:t>
      </w:r>
      <w:r w:rsidR="0087371D" w:rsidRPr="00215B57">
        <w:rPr>
          <w:rFonts w:ascii="Times New Roman" w:hAnsi="Times New Roman"/>
          <w:kern w:val="2"/>
          <w:sz w:val="24"/>
          <w:szCs w:val="24"/>
        </w:rPr>
        <w:t xml:space="preserve"> schedules not only prevented the Commission from learning earlier about the delays facing the Project, but it also led to a lack of accountability to meet schedules.</w:t>
      </w:r>
    </w:p>
    <w:p w:rsidR="0087371D" w:rsidRPr="00215B57" w:rsidRDefault="0087371D" w:rsidP="00BF13D7">
      <w:pPr>
        <w:tabs>
          <w:tab w:val="left" w:pos="-720"/>
        </w:tabs>
        <w:suppressAutoHyphens/>
        <w:spacing w:line="240" w:lineRule="auto"/>
        <w:contextualSpacing/>
        <w:jc w:val="both"/>
        <w:rPr>
          <w:rFonts w:ascii="Times New Roman" w:hAnsi="Times New Roman"/>
          <w:kern w:val="2"/>
          <w:sz w:val="24"/>
          <w:szCs w:val="24"/>
        </w:rPr>
      </w:pPr>
      <w:r w:rsidRPr="00215B57">
        <w:rPr>
          <w:rFonts w:ascii="Times New Roman" w:hAnsi="Times New Roman"/>
          <w:kern w:val="2"/>
          <w:sz w:val="24"/>
          <w:szCs w:val="24"/>
        </w:rPr>
        <w:t xml:space="preserve"> </w:t>
      </w:r>
    </w:p>
    <w:p w:rsidR="0087371D" w:rsidRPr="00215B57" w:rsidRDefault="0094499E" w:rsidP="00BF13D7">
      <w:pPr>
        <w:tabs>
          <w:tab w:val="left" w:pos="-720"/>
        </w:tabs>
        <w:suppressAutoHyphens/>
        <w:spacing w:line="240" w:lineRule="auto"/>
        <w:contextualSpacing/>
        <w:jc w:val="both"/>
        <w:rPr>
          <w:rFonts w:ascii="Times New Roman" w:hAnsi="Times New Roman"/>
          <w:kern w:val="2"/>
          <w:sz w:val="24"/>
          <w:szCs w:val="24"/>
        </w:rPr>
      </w:pPr>
      <w:r>
        <w:rPr>
          <w:rFonts w:ascii="Times New Roman" w:hAnsi="Times New Roman"/>
          <w:kern w:val="2"/>
          <w:sz w:val="24"/>
          <w:szCs w:val="24"/>
        </w:rPr>
        <w:t>37</w:t>
      </w:r>
      <w:r w:rsidR="0087371D" w:rsidRPr="00215B57">
        <w:rPr>
          <w:rFonts w:ascii="Times New Roman" w:hAnsi="Times New Roman"/>
          <w:kern w:val="2"/>
          <w:sz w:val="24"/>
          <w:szCs w:val="24"/>
        </w:rPr>
        <w:t>.</w:t>
      </w:r>
      <w:r w:rsidR="0087371D" w:rsidRPr="00215B57">
        <w:rPr>
          <w:rFonts w:ascii="Times New Roman" w:hAnsi="Times New Roman"/>
          <w:kern w:val="2"/>
          <w:sz w:val="24"/>
          <w:szCs w:val="24"/>
        </w:rPr>
        <w:tab/>
        <w:t xml:space="preserve">The Commission agrees with Staff witness Jacobs’ view that the Company’s pattern of providing testimony to this Commission as to the fidelity and accuracy of the Project schedule, only to consistently be forced to admit that the promised in-service dates were not in fact achievable is not indicative of a utility that is actively managing the Project. (Tr. </w:t>
      </w:r>
      <w:r w:rsidR="00C7517F">
        <w:rPr>
          <w:rFonts w:ascii="Times New Roman" w:hAnsi="Times New Roman"/>
          <w:kern w:val="2"/>
          <w:sz w:val="24"/>
          <w:szCs w:val="24"/>
        </w:rPr>
        <w:t>1757</w:t>
      </w:r>
      <w:r w:rsidR="0087371D" w:rsidRPr="00215B57">
        <w:rPr>
          <w:rFonts w:ascii="Times New Roman" w:hAnsi="Times New Roman"/>
          <w:kern w:val="2"/>
          <w:sz w:val="24"/>
          <w:szCs w:val="24"/>
        </w:rPr>
        <w:t xml:space="preserve">). This view is supported by the testimony of Company witness Rauckhorst, the </w:t>
      </w:r>
      <w:r w:rsidR="0087371D" w:rsidRPr="00215B57">
        <w:rPr>
          <w:rFonts w:ascii="Times New Roman" w:hAnsi="Times New Roman"/>
          <w:sz w:val="24"/>
          <w:szCs w:val="24"/>
        </w:rPr>
        <w:t xml:space="preserve">Southern Nuclear Executive Vice President of Vogtle 3 and 4. Despite the Company’s consistent representations to this Commission that it would be an active manager of the Project, Mr. Rauckhorst testified that he was aware that “there was not the leadership and accountability within the Westinghouse organization that was driving the accountability to produce the performance” (Tr. 544)  Despite representing that he was aware of these fundamental problems at Westinghouse, </w:t>
      </w:r>
      <w:r w:rsidR="0087371D" w:rsidRPr="00215B57">
        <w:rPr>
          <w:rFonts w:ascii="Times New Roman" w:hAnsi="Times New Roman"/>
          <w:kern w:val="2"/>
          <w:sz w:val="24"/>
          <w:szCs w:val="24"/>
        </w:rPr>
        <w:t xml:space="preserve">as recently as December, 2016 Mr. Rauckhorst unequivocally assured this Commission in sworn testimony that </w:t>
      </w:r>
      <w:r w:rsidR="0087371D" w:rsidRPr="00215B57">
        <w:rPr>
          <w:rFonts w:ascii="Times New Roman" w:hAnsi="Times New Roman"/>
          <w:sz w:val="24"/>
          <w:szCs w:val="24"/>
        </w:rPr>
        <w:t xml:space="preserve">the Company was “going to get this </w:t>
      </w:r>
      <w:r w:rsidR="00963E29">
        <w:rPr>
          <w:rFonts w:ascii="Times New Roman" w:hAnsi="Times New Roman"/>
          <w:sz w:val="24"/>
          <w:szCs w:val="24"/>
        </w:rPr>
        <w:t>Project</w:t>
      </w:r>
      <w:r w:rsidR="0087371D" w:rsidRPr="00215B57">
        <w:rPr>
          <w:rFonts w:ascii="Times New Roman" w:hAnsi="Times New Roman"/>
          <w:sz w:val="24"/>
          <w:szCs w:val="24"/>
        </w:rPr>
        <w:t xml:space="preserve"> completed by December 30</w:t>
      </w:r>
      <w:r w:rsidR="0087371D" w:rsidRPr="00215B57">
        <w:rPr>
          <w:rFonts w:ascii="Times New Roman" w:hAnsi="Times New Roman"/>
          <w:sz w:val="24"/>
          <w:szCs w:val="24"/>
          <w:vertAlign w:val="superscript"/>
        </w:rPr>
        <w:t>th</w:t>
      </w:r>
      <w:r w:rsidR="0087371D" w:rsidRPr="00215B57">
        <w:rPr>
          <w:rFonts w:ascii="Times New Roman" w:hAnsi="Times New Roman"/>
          <w:sz w:val="24"/>
          <w:szCs w:val="24"/>
        </w:rPr>
        <w:t xml:space="preserve"> of 2020.”  (Tr. 556) Less than nine months after Mr. Rauckhorst offered his assurances to this Commission, the Company filed its Seventeenth VCM Report projecting the target in-service dates for Units 3 and 4 at November 2021 and 2022 respectively. The events leading to a 23 month delay to the in-service dates could not have simply occurred in the nine months between Mr. Rauckhorst’s December, 2016 testimony and the Company’s filing of the Seventeenth VCM Report. If the Company was truly actively managing the Project and holding its contractor accountable for Project schedules, the Executive Vice President for Units 3 and 4 would certainly have known in December, 2016 that the Project could not be “completed by December 30 or 2020.” Moreover, Mr. Rauckhorst’s testimony from December 2016 cannot be reconciled with his testimony from November 2017.  If Mr. Rauckhorst was aware, as he claims he was, of the fundamental problems with the contractor, there is no plausible justification for providing an unequivocal assurance to this Commission that the Project will be completed on time. It is elemental that one cannot reasonably have total confidence in work being done correctly and on schedule when one expresses a basic lack of confidence in the company that is tasked with performing the work. </w:t>
      </w:r>
    </w:p>
    <w:p w:rsidR="0087371D" w:rsidRPr="00215B57" w:rsidRDefault="0087371D" w:rsidP="00BF13D7">
      <w:pPr>
        <w:tabs>
          <w:tab w:val="left" w:pos="-720"/>
        </w:tabs>
        <w:suppressAutoHyphens/>
        <w:spacing w:line="240" w:lineRule="auto"/>
        <w:contextualSpacing/>
        <w:jc w:val="both"/>
        <w:rPr>
          <w:rFonts w:ascii="Times New Roman" w:hAnsi="Times New Roman"/>
          <w:kern w:val="2"/>
          <w:sz w:val="24"/>
          <w:szCs w:val="24"/>
        </w:rPr>
      </w:pPr>
    </w:p>
    <w:p w:rsidR="0087371D" w:rsidRDefault="0094499E" w:rsidP="00BF13D7">
      <w:pPr>
        <w:spacing w:line="240" w:lineRule="auto"/>
        <w:contextualSpacing/>
        <w:jc w:val="both"/>
        <w:rPr>
          <w:rFonts w:ascii="Times New Roman" w:hAnsi="Times New Roman"/>
          <w:sz w:val="24"/>
          <w:szCs w:val="24"/>
        </w:rPr>
      </w:pPr>
      <w:r>
        <w:rPr>
          <w:rFonts w:ascii="Times New Roman" w:hAnsi="Times New Roman"/>
          <w:sz w:val="24"/>
          <w:szCs w:val="24"/>
        </w:rPr>
        <w:t>38</w:t>
      </w:r>
      <w:r w:rsidR="0087371D" w:rsidRPr="00215B57">
        <w:rPr>
          <w:rFonts w:ascii="Times New Roman" w:hAnsi="Times New Roman"/>
          <w:sz w:val="24"/>
          <w:szCs w:val="24"/>
        </w:rPr>
        <w:t>.</w:t>
      </w:r>
      <w:r w:rsidR="0087371D" w:rsidRPr="00215B57">
        <w:rPr>
          <w:rFonts w:ascii="Times New Roman" w:hAnsi="Times New Roman"/>
          <w:sz w:val="24"/>
          <w:szCs w:val="24"/>
        </w:rPr>
        <w:tab/>
        <w:t xml:space="preserve">The Company’s failure to actively manage the Project manifested itself in areas other than its failure to provide this Commission with accurate schedules. For example, the Company’s contractor was unable to meet the quality assurance requirements for the Project. The contractor’s inability to meet these quality assurance requirements resulted in the Company having to increase, at considerable cost, its oversight of the contractor’s quality assurance work. This additional cost is reflected in the large increase in owners cost. During the certification proceeding for Units 3 and 4, the Staff clearly identified quality assurance as an issue that would require serious attention for the Project to be successful. (Tr. 1525) The Company should have developed plans at that time to be pro-active in mitigating quality assurance risks.  </w:t>
      </w:r>
    </w:p>
    <w:p w:rsidR="0094499E" w:rsidRPr="00215B57" w:rsidRDefault="0094499E" w:rsidP="00BF13D7">
      <w:pPr>
        <w:spacing w:line="240" w:lineRule="auto"/>
        <w:contextualSpacing/>
        <w:jc w:val="both"/>
        <w:rPr>
          <w:rFonts w:ascii="Times New Roman" w:hAnsi="Times New Roman"/>
          <w:sz w:val="24"/>
          <w:szCs w:val="24"/>
        </w:rPr>
      </w:pPr>
    </w:p>
    <w:p w:rsidR="0087371D" w:rsidRPr="00215B57" w:rsidRDefault="0087371D" w:rsidP="00BF13D7">
      <w:pPr>
        <w:spacing w:line="240" w:lineRule="auto"/>
        <w:ind w:firstLine="720"/>
        <w:contextualSpacing/>
        <w:jc w:val="both"/>
        <w:rPr>
          <w:rFonts w:ascii="Times New Roman" w:hAnsi="Times New Roman"/>
          <w:sz w:val="24"/>
          <w:szCs w:val="24"/>
        </w:rPr>
      </w:pPr>
      <w:r w:rsidRPr="00215B57">
        <w:rPr>
          <w:rFonts w:ascii="Times New Roman" w:hAnsi="Times New Roman"/>
          <w:sz w:val="24"/>
          <w:szCs w:val="24"/>
        </w:rPr>
        <w:t xml:space="preserve">Instead of actively developing plans to mitigate quality assurance risks, the Company initially relied on the EPC Agreement which required the contractor to adhere to Nuclear Regulatory Commission rules regarding quality assurance.  The Company took minimal action until an incident relating to First Nuclear Concrete occurred.  At that time, each Party to the EPC Agreement had a separate quality assurance program.  This lack of cross organizational transparency resulted in a deficient Project and vendor wide quality assurance program. </w:t>
      </w:r>
    </w:p>
    <w:p w:rsidR="0094499E" w:rsidRDefault="0094499E" w:rsidP="00BF13D7">
      <w:pPr>
        <w:spacing w:line="240" w:lineRule="auto"/>
        <w:ind w:firstLine="720"/>
        <w:contextualSpacing/>
        <w:jc w:val="both"/>
        <w:rPr>
          <w:rFonts w:ascii="Times New Roman" w:hAnsi="Times New Roman"/>
          <w:sz w:val="24"/>
          <w:szCs w:val="24"/>
        </w:rPr>
      </w:pPr>
    </w:p>
    <w:p w:rsidR="0087371D" w:rsidRPr="00215B57" w:rsidRDefault="0087371D" w:rsidP="00BF13D7">
      <w:pPr>
        <w:spacing w:line="240" w:lineRule="auto"/>
        <w:ind w:firstLine="720"/>
        <w:contextualSpacing/>
        <w:jc w:val="both"/>
        <w:rPr>
          <w:rFonts w:ascii="Times New Roman" w:hAnsi="Times New Roman"/>
          <w:sz w:val="24"/>
          <w:szCs w:val="24"/>
        </w:rPr>
      </w:pPr>
      <w:r w:rsidRPr="00215B57">
        <w:rPr>
          <w:rFonts w:ascii="Times New Roman" w:hAnsi="Times New Roman"/>
          <w:sz w:val="24"/>
          <w:szCs w:val="24"/>
        </w:rPr>
        <w:t xml:space="preserve">Had the Company been actively managing the Project as promised, it would have been prepared to intercede when quality issues at the Project were first identified.   It was known or knowable that quality assurance would be a significant challenge to the Project for several reasons including the 30-year nuclear construction hiatus in the United States and the need to re-establish the commercial nuclear supply chain, as well as the history of substantial cost overruns and schedule delays that had been experienced with many of the previously constructed nuclear generating units in this country. (Tr. 1528) The level of quality assurance oversight was not sufficient for this Project.  The Company should, and could have, performed intrusive inspections and audits of all safety related contractor and major vendors work </w:t>
      </w:r>
      <w:r w:rsidR="0009031E">
        <w:rPr>
          <w:rFonts w:ascii="Times New Roman" w:hAnsi="Times New Roman"/>
          <w:sz w:val="24"/>
          <w:szCs w:val="24"/>
        </w:rPr>
        <w:t xml:space="preserve">beginning at </w:t>
      </w:r>
      <w:r w:rsidRPr="00215B57">
        <w:rPr>
          <w:rFonts w:ascii="Times New Roman" w:hAnsi="Times New Roman"/>
          <w:sz w:val="24"/>
          <w:szCs w:val="24"/>
        </w:rPr>
        <w:t>Project</w:t>
      </w:r>
      <w:r w:rsidR="0009031E">
        <w:rPr>
          <w:rFonts w:ascii="Times New Roman" w:hAnsi="Times New Roman"/>
          <w:sz w:val="24"/>
          <w:szCs w:val="24"/>
        </w:rPr>
        <w:t xml:space="preserve"> inception</w:t>
      </w:r>
      <w:r w:rsidRPr="00215B57">
        <w:rPr>
          <w:rFonts w:ascii="Times New Roman" w:hAnsi="Times New Roman"/>
          <w:sz w:val="24"/>
          <w:szCs w:val="24"/>
        </w:rPr>
        <w:t xml:space="preserve">.  </w:t>
      </w:r>
    </w:p>
    <w:p w:rsidR="00215B57" w:rsidRPr="007D1D6B" w:rsidRDefault="00215B57" w:rsidP="00BF13D7">
      <w:pPr>
        <w:spacing w:line="240" w:lineRule="auto"/>
        <w:ind w:firstLine="720"/>
        <w:contextualSpacing/>
        <w:jc w:val="both"/>
        <w:rPr>
          <w:rFonts w:ascii="Times New Roman" w:hAnsi="Times New Roman"/>
          <w:sz w:val="24"/>
          <w:szCs w:val="24"/>
        </w:rPr>
      </w:pPr>
    </w:p>
    <w:p w:rsidR="0087371D" w:rsidRPr="007D1D6B" w:rsidRDefault="0087371D" w:rsidP="00BF13D7">
      <w:pPr>
        <w:spacing w:line="240" w:lineRule="auto"/>
        <w:contextualSpacing/>
        <w:jc w:val="both"/>
        <w:rPr>
          <w:rFonts w:ascii="Times New Roman" w:hAnsi="Times New Roman"/>
          <w:sz w:val="24"/>
          <w:szCs w:val="24"/>
        </w:rPr>
      </w:pPr>
      <w:r w:rsidRPr="007D1D6B">
        <w:rPr>
          <w:rFonts w:ascii="Times New Roman" w:hAnsi="Times New Roman"/>
          <w:sz w:val="24"/>
          <w:szCs w:val="24"/>
        </w:rPr>
        <w:t xml:space="preserve"> </w:t>
      </w:r>
      <w:r w:rsidR="0094499E">
        <w:rPr>
          <w:rFonts w:ascii="Times New Roman" w:hAnsi="Times New Roman"/>
          <w:sz w:val="24"/>
          <w:szCs w:val="24"/>
        </w:rPr>
        <w:t>39.</w:t>
      </w:r>
      <w:r w:rsidRPr="007D1D6B">
        <w:rPr>
          <w:rFonts w:ascii="Times New Roman" w:hAnsi="Times New Roman"/>
          <w:sz w:val="24"/>
          <w:szCs w:val="24"/>
        </w:rPr>
        <w:tab/>
        <w:t xml:space="preserve">In addition, the Company failed to assure quality assurance with regard to Shaw Modular Solutions (“SMS”). SMS was primarily responsible for fabricating the structural sub-modules which were to be shipped to the Project site complete, and assembled into full modules.  As detailed by Staff witnesses, a  Nuclear Regulatory Commission inspection team determined that SMS was not fully implementing its quality assurance program in the areas of training, design control, procurement document control, control of special processes, control of measuring and test equipment, control of nonconforming items, and corrective actions consistent with regulatory and contractual requirements, and applicable implementing procedures. </w:t>
      </w:r>
    </w:p>
    <w:p w:rsidR="0087371D" w:rsidRPr="007D1D6B" w:rsidRDefault="0087371D" w:rsidP="00BF13D7">
      <w:pPr>
        <w:spacing w:line="240" w:lineRule="auto"/>
        <w:contextualSpacing/>
        <w:jc w:val="both"/>
        <w:rPr>
          <w:rFonts w:ascii="Times New Roman" w:hAnsi="Times New Roman"/>
          <w:sz w:val="24"/>
          <w:szCs w:val="24"/>
        </w:rPr>
      </w:pPr>
      <w:r w:rsidRPr="007D1D6B">
        <w:rPr>
          <w:rFonts w:ascii="Times New Roman" w:hAnsi="Times New Roman"/>
          <w:sz w:val="24"/>
          <w:szCs w:val="24"/>
        </w:rPr>
        <w:tab/>
      </w:r>
    </w:p>
    <w:p w:rsidR="0087371D" w:rsidRDefault="0087371D" w:rsidP="00BF13D7">
      <w:pPr>
        <w:spacing w:line="240" w:lineRule="auto"/>
        <w:contextualSpacing/>
        <w:jc w:val="center"/>
        <w:rPr>
          <w:rFonts w:ascii="Times New Roman" w:hAnsi="Times New Roman"/>
          <w:b/>
          <w:sz w:val="24"/>
          <w:szCs w:val="24"/>
          <w:u w:val="single"/>
        </w:rPr>
      </w:pPr>
      <w:r w:rsidRPr="007D1D6B">
        <w:rPr>
          <w:rFonts w:ascii="Times New Roman" w:hAnsi="Times New Roman"/>
          <w:b/>
          <w:sz w:val="24"/>
          <w:szCs w:val="24"/>
          <w:u w:val="single"/>
        </w:rPr>
        <w:t xml:space="preserve">The payment of liens resulted from the Westinghouse bankruptcy, which in turn resulted from the Project not being managed effectively. </w:t>
      </w:r>
    </w:p>
    <w:p w:rsidR="00CA229F" w:rsidRPr="007D1D6B" w:rsidRDefault="00CA229F" w:rsidP="00BF13D7">
      <w:pPr>
        <w:spacing w:line="240" w:lineRule="auto"/>
        <w:contextualSpacing/>
        <w:jc w:val="center"/>
        <w:rPr>
          <w:rFonts w:ascii="Times New Roman" w:hAnsi="Times New Roman"/>
          <w:b/>
          <w:sz w:val="24"/>
          <w:szCs w:val="24"/>
          <w:u w:val="single"/>
        </w:rPr>
      </w:pPr>
    </w:p>
    <w:p w:rsidR="0087371D" w:rsidRDefault="0094499E" w:rsidP="00BF13D7">
      <w:pPr>
        <w:spacing w:line="240" w:lineRule="auto"/>
        <w:contextualSpacing/>
        <w:jc w:val="both"/>
        <w:rPr>
          <w:rFonts w:ascii="Times New Roman" w:hAnsi="Times New Roman"/>
          <w:sz w:val="24"/>
          <w:szCs w:val="24"/>
        </w:rPr>
      </w:pPr>
      <w:r>
        <w:rPr>
          <w:rFonts w:ascii="Times New Roman" w:hAnsi="Times New Roman"/>
          <w:sz w:val="24"/>
          <w:szCs w:val="24"/>
        </w:rPr>
        <w:t>40</w:t>
      </w:r>
      <w:r w:rsidR="0087371D" w:rsidRPr="007D1D6B">
        <w:rPr>
          <w:rFonts w:ascii="Times New Roman" w:hAnsi="Times New Roman"/>
          <w:sz w:val="24"/>
          <w:szCs w:val="24"/>
        </w:rPr>
        <w:t>.</w:t>
      </w:r>
      <w:r w:rsidR="0087371D" w:rsidRPr="007D1D6B">
        <w:rPr>
          <w:rFonts w:ascii="Times New Roman" w:hAnsi="Times New Roman"/>
          <w:sz w:val="24"/>
          <w:szCs w:val="24"/>
        </w:rPr>
        <w:tab/>
        <w:t>The Westinghouse bankruptcy did not cause the delay; the delay caused the bankruptcy.  And the delay was the result of ineffective Project management.</w:t>
      </w:r>
    </w:p>
    <w:p w:rsidR="00215B57" w:rsidRPr="007D1D6B" w:rsidRDefault="00215B57" w:rsidP="00BF13D7">
      <w:pPr>
        <w:spacing w:line="240" w:lineRule="auto"/>
        <w:contextualSpacing/>
        <w:jc w:val="both"/>
        <w:rPr>
          <w:rFonts w:ascii="Times New Roman" w:hAnsi="Times New Roman"/>
          <w:sz w:val="24"/>
          <w:szCs w:val="24"/>
        </w:rPr>
      </w:pPr>
    </w:p>
    <w:p w:rsidR="0087371D" w:rsidRDefault="0094499E" w:rsidP="00BF13D7">
      <w:pPr>
        <w:spacing w:line="240" w:lineRule="auto"/>
        <w:contextualSpacing/>
        <w:jc w:val="both"/>
        <w:rPr>
          <w:rFonts w:ascii="Times New Roman" w:hAnsi="Times New Roman"/>
          <w:sz w:val="24"/>
          <w:szCs w:val="24"/>
        </w:rPr>
      </w:pPr>
      <w:r>
        <w:rPr>
          <w:rFonts w:ascii="Times New Roman" w:hAnsi="Times New Roman"/>
          <w:sz w:val="24"/>
          <w:szCs w:val="24"/>
        </w:rPr>
        <w:t>41</w:t>
      </w:r>
      <w:r w:rsidR="0087371D" w:rsidRPr="007D1D6B">
        <w:rPr>
          <w:rFonts w:ascii="Times New Roman" w:hAnsi="Times New Roman"/>
          <w:sz w:val="24"/>
          <w:szCs w:val="24"/>
        </w:rPr>
        <w:t>.</w:t>
      </w:r>
      <w:r w:rsidR="0087371D" w:rsidRPr="007D1D6B">
        <w:rPr>
          <w:rFonts w:ascii="Times New Roman" w:hAnsi="Times New Roman"/>
          <w:sz w:val="24"/>
          <w:szCs w:val="24"/>
        </w:rPr>
        <w:tab/>
        <w:t xml:space="preserve">Numerous vendors who performed work at the Project under contracts with Westinghouse were not paid for the services they performed prior to Westinghouse’s bankruptcy filing. The Company subsequently elected to pay such vendors in order to satisfy the liens. Based on the evidence in this proceeding, the Commission finds and concludes that the amount paid by the Company in order to satisfy the liens, $93 million, is unreasonable and should not be borne by the Company’s ratepayers. </w:t>
      </w:r>
    </w:p>
    <w:p w:rsidR="00215B57" w:rsidRPr="007D1D6B" w:rsidRDefault="00215B57" w:rsidP="00BF13D7">
      <w:pPr>
        <w:spacing w:line="240" w:lineRule="auto"/>
        <w:contextualSpacing/>
        <w:jc w:val="both"/>
        <w:rPr>
          <w:rFonts w:ascii="Times New Roman" w:hAnsi="Times New Roman"/>
          <w:sz w:val="24"/>
          <w:szCs w:val="24"/>
        </w:rPr>
      </w:pPr>
    </w:p>
    <w:p w:rsidR="00215B57" w:rsidRDefault="0094499E" w:rsidP="00BF13D7">
      <w:pPr>
        <w:tabs>
          <w:tab w:val="left" w:pos="-720"/>
        </w:tabs>
        <w:suppressAutoHyphens/>
        <w:spacing w:line="240" w:lineRule="auto"/>
        <w:contextualSpacing/>
        <w:jc w:val="both"/>
        <w:rPr>
          <w:rFonts w:ascii="Times New Roman" w:hAnsi="Times New Roman"/>
          <w:sz w:val="24"/>
          <w:szCs w:val="24"/>
        </w:rPr>
      </w:pPr>
      <w:r>
        <w:rPr>
          <w:rFonts w:ascii="Times New Roman" w:hAnsi="Times New Roman"/>
          <w:sz w:val="24"/>
          <w:szCs w:val="24"/>
        </w:rPr>
        <w:t>42</w:t>
      </w:r>
      <w:r w:rsidR="0087371D" w:rsidRPr="007D1D6B">
        <w:rPr>
          <w:rFonts w:ascii="Times New Roman" w:hAnsi="Times New Roman"/>
          <w:sz w:val="24"/>
          <w:szCs w:val="24"/>
        </w:rPr>
        <w:t>.</w:t>
      </w:r>
      <w:r w:rsidR="0087371D" w:rsidRPr="007D1D6B">
        <w:rPr>
          <w:rFonts w:ascii="Times New Roman" w:hAnsi="Times New Roman"/>
          <w:sz w:val="24"/>
          <w:szCs w:val="24"/>
        </w:rPr>
        <w:tab/>
        <w:t xml:space="preserve">The payment of liens by the Company represents an additional expense to the Project over which the Company certainly had more control than the ratepayers.  Each of Westinghouse’s pre-bankruptcy petition vendors was a sophisticated entity and accepted the risk of extending credit to Westinghouse for work performed. (Tr. 1500)  Each such vendor had the ability to pursue recovery of their claims through the Westinghouse bankruptcy proceedings. </w:t>
      </w:r>
      <w:r w:rsidR="0087371D" w:rsidRPr="007D1D6B" w:rsidDel="00461B2E">
        <w:rPr>
          <w:rFonts w:ascii="Times New Roman" w:hAnsi="Times New Roman"/>
          <w:sz w:val="24"/>
          <w:szCs w:val="24"/>
        </w:rPr>
        <w:t xml:space="preserve"> </w:t>
      </w:r>
      <w:r w:rsidR="0087371D" w:rsidRPr="007D1D6B">
        <w:rPr>
          <w:rFonts w:ascii="Times New Roman" w:hAnsi="Times New Roman"/>
          <w:sz w:val="24"/>
          <w:szCs w:val="24"/>
        </w:rPr>
        <w:t xml:space="preserve">Contracts between Westinghouse and its pre-bankruptcy petition vendors were arrangements over which the Company’s ratepayers had no control, and the Company’s payment to the vendors to satisfy </w:t>
      </w:r>
      <w:r w:rsidR="0009031E">
        <w:rPr>
          <w:rFonts w:ascii="Times New Roman" w:hAnsi="Times New Roman"/>
          <w:sz w:val="24"/>
          <w:szCs w:val="24"/>
        </w:rPr>
        <w:t xml:space="preserve">these </w:t>
      </w:r>
      <w:r w:rsidR="0087371D" w:rsidRPr="007D1D6B">
        <w:rPr>
          <w:rFonts w:ascii="Times New Roman" w:hAnsi="Times New Roman"/>
          <w:sz w:val="24"/>
          <w:szCs w:val="24"/>
        </w:rPr>
        <w:t>liens was certainly more in the control of the Company than the ratepayers</w:t>
      </w:r>
      <w:r w:rsidR="0087371D" w:rsidRPr="007D1D6B">
        <w:rPr>
          <w:rFonts w:ascii="Times New Roman" w:hAnsi="Times New Roman"/>
          <w:i/>
          <w:sz w:val="24"/>
          <w:szCs w:val="24"/>
        </w:rPr>
        <w:t xml:space="preserve">. </w:t>
      </w:r>
      <w:r w:rsidR="0087371D" w:rsidRPr="007D1D6B">
        <w:rPr>
          <w:rFonts w:ascii="Times New Roman" w:hAnsi="Times New Roman"/>
          <w:kern w:val="2"/>
          <w:sz w:val="24"/>
          <w:szCs w:val="24"/>
        </w:rPr>
        <w:t xml:space="preserve">Even at this date, the Company may still proceed against the Westinghouse bankruptcy estate to pursue recovery of all amounts paid to the Westinghouse vendors to satisfy the liens. (Tr. 1768)  </w:t>
      </w:r>
      <w:r w:rsidR="0087371D" w:rsidRPr="007D1D6B">
        <w:rPr>
          <w:rFonts w:ascii="Times New Roman" w:hAnsi="Times New Roman"/>
          <w:sz w:val="24"/>
          <w:szCs w:val="24"/>
        </w:rPr>
        <w:t>Therefore, it is appropriate that such costs be borne by the Company and not by its ratepayers.</w:t>
      </w:r>
    </w:p>
    <w:p w:rsidR="0087371D" w:rsidRPr="007D1D6B" w:rsidRDefault="0087371D" w:rsidP="00BF13D7">
      <w:pPr>
        <w:tabs>
          <w:tab w:val="left" w:pos="-720"/>
        </w:tabs>
        <w:suppressAutoHyphens/>
        <w:spacing w:line="240" w:lineRule="auto"/>
        <w:contextualSpacing/>
        <w:jc w:val="both"/>
        <w:rPr>
          <w:rFonts w:ascii="Times New Roman" w:hAnsi="Times New Roman"/>
          <w:i/>
          <w:sz w:val="24"/>
          <w:szCs w:val="24"/>
        </w:rPr>
      </w:pPr>
      <w:r w:rsidRPr="007D1D6B">
        <w:rPr>
          <w:rFonts w:ascii="Times New Roman" w:hAnsi="Times New Roman"/>
          <w:i/>
          <w:sz w:val="24"/>
          <w:szCs w:val="24"/>
        </w:rPr>
        <w:t xml:space="preserve"> </w:t>
      </w:r>
    </w:p>
    <w:p w:rsidR="0087371D" w:rsidRDefault="0094499E" w:rsidP="00BF13D7">
      <w:pPr>
        <w:tabs>
          <w:tab w:val="left" w:pos="-720"/>
        </w:tabs>
        <w:suppressAutoHyphens/>
        <w:spacing w:line="240" w:lineRule="auto"/>
        <w:contextualSpacing/>
        <w:jc w:val="both"/>
        <w:rPr>
          <w:rFonts w:ascii="Times New Roman" w:hAnsi="Times New Roman"/>
          <w:kern w:val="2"/>
          <w:sz w:val="24"/>
          <w:szCs w:val="24"/>
        </w:rPr>
      </w:pPr>
      <w:r>
        <w:rPr>
          <w:rFonts w:ascii="Times New Roman" w:hAnsi="Times New Roman"/>
          <w:kern w:val="2"/>
          <w:sz w:val="24"/>
          <w:szCs w:val="24"/>
        </w:rPr>
        <w:t>43</w:t>
      </w:r>
      <w:r w:rsidR="0087371D" w:rsidRPr="007D1D6B">
        <w:rPr>
          <w:rFonts w:ascii="Times New Roman" w:hAnsi="Times New Roman"/>
          <w:kern w:val="2"/>
          <w:sz w:val="24"/>
          <w:szCs w:val="24"/>
        </w:rPr>
        <w:t>.</w:t>
      </w:r>
      <w:r w:rsidR="0087371D" w:rsidRPr="007D1D6B">
        <w:rPr>
          <w:rFonts w:ascii="Times New Roman" w:hAnsi="Times New Roman"/>
          <w:kern w:val="2"/>
          <w:sz w:val="24"/>
          <w:szCs w:val="24"/>
        </w:rPr>
        <w:tab/>
        <w:t>Critically, the determination of whether the lien payments are reasonable for the Company’s ratepayers to bear does not hinge on whether it was prudent for the Company to pay the liens once Westinghouse was in bankruptcy.  Instead, the Commission looks at what transpired to put the Company in the position that it would have to incur this expense. As Staff witness Roetger testified, payment of the liens by the Company could have been a prudent decision at the time such payments were made. (Tr. 1760) But as Staff demonstrated during cross-examination of Company witness Jack F. Williams, whether the decision was prudent at the time is not the dispositive issue.</w:t>
      </w:r>
    </w:p>
    <w:p w:rsidR="00215B57" w:rsidRPr="007D1D6B" w:rsidRDefault="00215B57" w:rsidP="00BF13D7">
      <w:pPr>
        <w:tabs>
          <w:tab w:val="left" w:pos="-720"/>
        </w:tabs>
        <w:suppressAutoHyphens/>
        <w:spacing w:line="240" w:lineRule="auto"/>
        <w:contextualSpacing/>
        <w:jc w:val="both"/>
        <w:rPr>
          <w:rFonts w:ascii="Times New Roman" w:hAnsi="Times New Roman"/>
          <w:kern w:val="2"/>
          <w:sz w:val="24"/>
          <w:szCs w:val="24"/>
        </w:rPr>
      </w:pPr>
    </w:p>
    <w:p w:rsidR="0087371D" w:rsidRPr="007D1D6B" w:rsidRDefault="0087371D" w:rsidP="00BF13D7">
      <w:pPr>
        <w:tabs>
          <w:tab w:val="left" w:pos="-720"/>
        </w:tabs>
        <w:suppressAutoHyphens/>
        <w:spacing w:line="240" w:lineRule="auto"/>
        <w:ind w:left="1440" w:hanging="720"/>
        <w:contextualSpacing/>
        <w:jc w:val="both"/>
        <w:rPr>
          <w:rFonts w:ascii="Times New Roman" w:hAnsi="Times New Roman"/>
          <w:sz w:val="24"/>
          <w:szCs w:val="24"/>
        </w:rPr>
      </w:pPr>
      <w:r w:rsidRPr="007D1D6B">
        <w:rPr>
          <w:rFonts w:ascii="Times New Roman" w:hAnsi="Times New Roman"/>
          <w:sz w:val="24"/>
          <w:szCs w:val="24"/>
        </w:rPr>
        <w:t>Q.</w:t>
      </w:r>
      <w:r w:rsidRPr="007D1D6B">
        <w:rPr>
          <w:rFonts w:ascii="Times New Roman" w:hAnsi="Times New Roman"/>
          <w:sz w:val="24"/>
          <w:szCs w:val="24"/>
        </w:rPr>
        <w:tab/>
        <w:t>(PIAS Counsel)</w:t>
      </w:r>
      <w:r w:rsidRPr="007D1D6B">
        <w:rPr>
          <w:rFonts w:ascii="Times New Roman" w:hAnsi="Times New Roman"/>
          <w:sz w:val="24"/>
          <w:szCs w:val="24"/>
        </w:rPr>
        <w:tab/>
        <w:t>Let's say I borrow your car, and I wrap it around a telephone pole and it becomes engulfed in flames. I grab a fire extinguisher and put out the fire. You could say that my decision to use a fire extinguisher was in the best interests of you, the car owner, but making that statement as a stand-alone statement, somewhat discounts the events that led me to be in a place where I need to use a fire extinguisher.  Would you agree with that?</w:t>
      </w:r>
    </w:p>
    <w:p w:rsidR="0087371D" w:rsidRPr="007D1D6B" w:rsidRDefault="0087371D" w:rsidP="00BF13D7">
      <w:pPr>
        <w:tabs>
          <w:tab w:val="left" w:pos="-720"/>
        </w:tabs>
        <w:suppressAutoHyphens/>
        <w:spacing w:line="240" w:lineRule="auto"/>
        <w:ind w:left="1440" w:hanging="720"/>
        <w:contextualSpacing/>
        <w:jc w:val="both"/>
        <w:rPr>
          <w:rFonts w:ascii="Times New Roman" w:hAnsi="Times New Roman"/>
          <w:kern w:val="2"/>
          <w:sz w:val="24"/>
          <w:szCs w:val="24"/>
        </w:rPr>
      </w:pPr>
      <w:r w:rsidRPr="007D1D6B">
        <w:rPr>
          <w:rFonts w:ascii="Times New Roman" w:hAnsi="Times New Roman"/>
          <w:sz w:val="24"/>
          <w:szCs w:val="24"/>
        </w:rPr>
        <w:t>A.</w:t>
      </w:r>
      <w:r w:rsidRPr="007D1D6B">
        <w:rPr>
          <w:rFonts w:ascii="Times New Roman" w:hAnsi="Times New Roman"/>
          <w:sz w:val="24"/>
          <w:szCs w:val="24"/>
        </w:rPr>
        <w:tab/>
        <w:t>(Company witness)</w:t>
      </w:r>
      <w:r w:rsidRPr="007D1D6B">
        <w:rPr>
          <w:rFonts w:ascii="Times New Roman" w:hAnsi="Times New Roman"/>
          <w:sz w:val="24"/>
          <w:szCs w:val="24"/>
        </w:rPr>
        <w:tab/>
        <w:t xml:space="preserve">Based on the hypothetical you gave, yes. (Tr. 974-75). </w:t>
      </w:r>
    </w:p>
    <w:p w:rsidR="0087371D" w:rsidRPr="007D1D6B" w:rsidRDefault="0087371D" w:rsidP="00BF13D7">
      <w:pPr>
        <w:tabs>
          <w:tab w:val="left" w:pos="-720"/>
        </w:tabs>
        <w:suppressAutoHyphens/>
        <w:spacing w:line="240" w:lineRule="auto"/>
        <w:contextualSpacing/>
        <w:jc w:val="both"/>
        <w:rPr>
          <w:rFonts w:ascii="Times New Roman" w:hAnsi="Times New Roman"/>
          <w:kern w:val="2"/>
          <w:sz w:val="24"/>
          <w:szCs w:val="24"/>
        </w:rPr>
      </w:pPr>
    </w:p>
    <w:p w:rsidR="00215B57" w:rsidRDefault="0087371D" w:rsidP="00BF13D7">
      <w:pPr>
        <w:tabs>
          <w:tab w:val="left" w:pos="-720"/>
        </w:tabs>
        <w:suppressAutoHyphens/>
        <w:spacing w:line="240" w:lineRule="auto"/>
        <w:contextualSpacing/>
        <w:jc w:val="both"/>
        <w:rPr>
          <w:rFonts w:ascii="Times New Roman" w:hAnsi="Times New Roman"/>
          <w:kern w:val="2"/>
          <w:sz w:val="24"/>
          <w:szCs w:val="24"/>
        </w:rPr>
      </w:pPr>
      <w:r w:rsidRPr="007D1D6B">
        <w:rPr>
          <w:rFonts w:ascii="Times New Roman" w:hAnsi="Times New Roman"/>
          <w:iCs/>
          <w:sz w:val="24"/>
          <w:szCs w:val="24"/>
        </w:rPr>
        <w:t xml:space="preserve">Throughout the VCM proceedings the Commission has been assured by the Company that it would actively manage the Project, monitor Project schedules and hold the Contractor accountable for such schedules. Despite these assurances, the Company consistently failed to obtain a fully Integrated Project Schedule. It was this lack of schedule that led in large part to the Westinghouse bankruptcy, and that bankruptcy in turn led to the liens being placed on the Project. </w:t>
      </w:r>
      <w:r w:rsidRPr="007D1D6B">
        <w:rPr>
          <w:rFonts w:ascii="Times New Roman" w:hAnsi="Times New Roman"/>
          <w:kern w:val="2"/>
          <w:sz w:val="24"/>
          <w:szCs w:val="24"/>
        </w:rPr>
        <w:tab/>
      </w:r>
    </w:p>
    <w:p w:rsidR="0087371D" w:rsidRPr="007D1D6B" w:rsidRDefault="0087371D" w:rsidP="00BF13D7">
      <w:pPr>
        <w:tabs>
          <w:tab w:val="left" w:pos="-720"/>
        </w:tabs>
        <w:suppressAutoHyphens/>
        <w:spacing w:line="240" w:lineRule="auto"/>
        <w:contextualSpacing/>
        <w:jc w:val="both"/>
        <w:rPr>
          <w:rFonts w:ascii="Times New Roman" w:hAnsi="Times New Roman"/>
          <w:kern w:val="2"/>
          <w:sz w:val="24"/>
          <w:szCs w:val="24"/>
        </w:rPr>
      </w:pPr>
      <w:r w:rsidRPr="007D1D6B">
        <w:rPr>
          <w:rFonts w:ascii="Times New Roman" w:hAnsi="Times New Roman"/>
          <w:kern w:val="2"/>
          <w:sz w:val="24"/>
          <w:szCs w:val="24"/>
        </w:rPr>
        <w:tab/>
      </w:r>
    </w:p>
    <w:p w:rsidR="0087371D" w:rsidRPr="007D1D6B" w:rsidRDefault="0087371D" w:rsidP="00BF13D7">
      <w:pPr>
        <w:tabs>
          <w:tab w:val="left" w:pos="-720"/>
        </w:tabs>
        <w:suppressAutoHyphens/>
        <w:spacing w:line="240" w:lineRule="auto"/>
        <w:contextualSpacing/>
        <w:jc w:val="center"/>
        <w:rPr>
          <w:rFonts w:ascii="Times New Roman" w:hAnsi="Times New Roman"/>
          <w:b/>
          <w:kern w:val="2"/>
          <w:sz w:val="24"/>
          <w:szCs w:val="24"/>
          <w:u w:val="single"/>
        </w:rPr>
      </w:pPr>
      <w:r w:rsidRPr="007D1D6B">
        <w:rPr>
          <w:rFonts w:ascii="Times New Roman" w:hAnsi="Times New Roman"/>
          <w:b/>
          <w:kern w:val="2"/>
          <w:sz w:val="24"/>
          <w:szCs w:val="24"/>
          <w:u w:val="single"/>
        </w:rPr>
        <w:t xml:space="preserve">The Loss of Production Tax Credits Resulted from the Delays due to </w:t>
      </w:r>
    </w:p>
    <w:p w:rsidR="0087371D" w:rsidRPr="007D1D6B" w:rsidRDefault="0087371D" w:rsidP="00BF13D7">
      <w:pPr>
        <w:tabs>
          <w:tab w:val="left" w:pos="-720"/>
        </w:tabs>
        <w:suppressAutoHyphens/>
        <w:spacing w:line="240" w:lineRule="auto"/>
        <w:contextualSpacing/>
        <w:jc w:val="center"/>
        <w:rPr>
          <w:rFonts w:ascii="Times New Roman" w:hAnsi="Times New Roman"/>
          <w:b/>
          <w:kern w:val="2"/>
          <w:sz w:val="24"/>
          <w:szCs w:val="24"/>
          <w:u w:val="single"/>
        </w:rPr>
      </w:pPr>
      <w:r w:rsidRPr="007D1D6B">
        <w:rPr>
          <w:rFonts w:ascii="Times New Roman" w:hAnsi="Times New Roman"/>
          <w:b/>
          <w:kern w:val="2"/>
          <w:sz w:val="24"/>
          <w:szCs w:val="24"/>
          <w:u w:val="single"/>
        </w:rPr>
        <w:t>Ineffective Project Management</w:t>
      </w:r>
    </w:p>
    <w:p w:rsidR="0087371D" w:rsidRPr="0094499E" w:rsidRDefault="0094499E" w:rsidP="00BF13D7">
      <w:pPr>
        <w:pStyle w:val="PSCAnswer"/>
        <w:jc w:val="both"/>
      </w:pPr>
      <w:r w:rsidRPr="0094499E">
        <w:t>44</w:t>
      </w:r>
      <w:r w:rsidR="0087371D" w:rsidRPr="0094499E">
        <w:t>.</w:t>
      </w:r>
      <w:r w:rsidR="0087371D" w:rsidRPr="0094499E">
        <w:tab/>
        <w:t xml:space="preserve">The Project will qualify for the advanced nuclear facility federal income PTC of 1.8 cents for each kWh of electrical energy produced and sold to third parties for an eight-year period following the placed in-service date of the plant, provided the plant is placed in service prior to January 1, 2021, subject to certain limits. (Tr. 159) The Southern Nuclear estimate to complete, based on information provided by Westinghouse, Southern Nuclear’s schedule development and analysis, and industry experience, projects commercial operation dates ranging from February 2021 to March 2022 for Unit 3 and from February 2022 to March 2023 for Unit 4. (Tr. 130) </w:t>
      </w:r>
    </w:p>
    <w:p w:rsidR="0087371D" w:rsidRPr="007D1D6B" w:rsidRDefault="0094499E" w:rsidP="00BF13D7">
      <w:pPr>
        <w:spacing w:line="240" w:lineRule="auto"/>
        <w:contextualSpacing/>
        <w:jc w:val="both"/>
        <w:rPr>
          <w:rFonts w:ascii="Times New Roman" w:hAnsi="Times New Roman"/>
          <w:sz w:val="24"/>
          <w:szCs w:val="24"/>
        </w:rPr>
      </w:pPr>
      <w:r>
        <w:rPr>
          <w:rFonts w:ascii="Times New Roman" w:hAnsi="Times New Roman"/>
          <w:sz w:val="24"/>
          <w:szCs w:val="24"/>
        </w:rPr>
        <w:t>45</w:t>
      </w:r>
      <w:r w:rsidR="0087371D" w:rsidRPr="007D1D6B">
        <w:rPr>
          <w:rFonts w:ascii="Times New Roman" w:hAnsi="Times New Roman"/>
          <w:sz w:val="24"/>
          <w:szCs w:val="24"/>
        </w:rPr>
        <w:t>.</w:t>
      </w:r>
      <w:r w:rsidR="0087371D" w:rsidRPr="007D1D6B">
        <w:rPr>
          <w:rFonts w:ascii="Times New Roman" w:hAnsi="Times New Roman"/>
          <w:sz w:val="24"/>
          <w:szCs w:val="24"/>
        </w:rPr>
        <w:tab/>
        <w:t>The Company has admitted that it is now clear that the Project will be placed in service after January 1, 2021. (Tr. 159) As discussed above, the Project schedule delay beyond January 1, 2021 resulted from multiple programmatic deficiencies in procurement, construction, design, and engineering by the Company or its contractor. It is clear to this Commission that the intent of Congress when enacting the PTCs was to spur development of nuclear energy within the time frame for eligibility of the PTCs.  Congress also provided the time frame it believed was reasonable to build new nuclear units and for those units be operational and producing maximum energy.  The Commission finds that this time frame was sufficient to complete the Project had the Company actively managed the Project as promised, and had the Company and its contractor used industry norms and practices.  The failure to do so by the Company and its contractor should not encumber ratepayers for increased costs related to the inability to utilize tax benefits due to schedule delays and the inability to meet commitments.  Such increased costs represent an additional expense to the Project which is certainly more in the control of Company and stem directly from the failure of the Company and its contractor to actively manage the Project. Therefore, the Commission finds that the additional costs incurred by the Company from the loss of the PTCs costs are unreasonable and should be the responsibility of the Company and not its ratepayers.</w:t>
      </w:r>
    </w:p>
    <w:p w:rsidR="0094499E" w:rsidRDefault="0094499E" w:rsidP="00BF13D7">
      <w:pPr>
        <w:spacing w:line="240" w:lineRule="auto"/>
        <w:contextualSpacing/>
        <w:jc w:val="both"/>
        <w:rPr>
          <w:rFonts w:ascii="Times New Roman" w:hAnsi="Times New Roman"/>
          <w:sz w:val="24"/>
          <w:szCs w:val="24"/>
        </w:rPr>
      </w:pPr>
    </w:p>
    <w:p w:rsidR="0087371D" w:rsidRPr="007D1D6B" w:rsidRDefault="0094499E" w:rsidP="00BF13D7">
      <w:pPr>
        <w:spacing w:line="240" w:lineRule="auto"/>
        <w:contextualSpacing/>
        <w:jc w:val="both"/>
        <w:rPr>
          <w:rFonts w:ascii="Times New Roman" w:hAnsi="Times New Roman"/>
          <w:sz w:val="24"/>
          <w:szCs w:val="24"/>
        </w:rPr>
      </w:pPr>
      <w:r>
        <w:rPr>
          <w:rFonts w:ascii="Times New Roman" w:hAnsi="Times New Roman"/>
          <w:sz w:val="24"/>
          <w:szCs w:val="24"/>
        </w:rPr>
        <w:t>46</w:t>
      </w:r>
      <w:r w:rsidR="0087371D" w:rsidRPr="007D1D6B">
        <w:rPr>
          <w:rFonts w:ascii="Times New Roman" w:hAnsi="Times New Roman"/>
          <w:sz w:val="24"/>
          <w:szCs w:val="24"/>
        </w:rPr>
        <w:t>.</w:t>
      </w:r>
      <w:r w:rsidR="0087371D" w:rsidRPr="007D1D6B">
        <w:rPr>
          <w:rFonts w:ascii="Times New Roman" w:hAnsi="Times New Roman"/>
          <w:sz w:val="24"/>
          <w:szCs w:val="24"/>
        </w:rPr>
        <w:tab/>
        <w:t xml:space="preserve">Based on Georgia Power’s repeated representations that it was going to be an active manager of the Project and that it would hold the contractor accountable to its schedules, along with the testimony of Dr. Jacobs and Roetger that there were numerous steps the Company could have taken to influence productivity, the Commission finds that the Company had some control over the costs and timing of the Project. The Commission also finds that it is not fair for ratepayers to have to pay excessive costs that were incurred as a result of construction on the Project being ineffectively managed.    </w:t>
      </w:r>
    </w:p>
    <w:p w:rsidR="0087371D" w:rsidRPr="007D1D6B" w:rsidRDefault="0087371D" w:rsidP="00BF13D7">
      <w:pPr>
        <w:spacing w:line="240" w:lineRule="auto"/>
        <w:contextualSpacing/>
        <w:jc w:val="both"/>
        <w:rPr>
          <w:rFonts w:ascii="Times New Roman" w:hAnsi="Times New Roman"/>
          <w:sz w:val="24"/>
          <w:szCs w:val="24"/>
        </w:rPr>
      </w:pPr>
    </w:p>
    <w:p w:rsidR="0087371D" w:rsidRPr="007D1D6B" w:rsidRDefault="0094499E" w:rsidP="00BF13D7">
      <w:pPr>
        <w:spacing w:line="240" w:lineRule="auto"/>
        <w:contextualSpacing/>
        <w:jc w:val="both"/>
        <w:rPr>
          <w:rFonts w:ascii="Times New Roman" w:hAnsi="Times New Roman"/>
          <w:sz w:val="24"/>
          <w:szCs w:val="24"/>
        </w:rPr>
      </w:pPr>
      <w:r>
        <w:rPr>
          <w:rFonts w:ascii="Times New Roman" w:hAnsi="Times New Roman"/>
          <w:sz w:val="24"/>
          <w:szCs w:val="24"/>
        </w:rPr>
        <w:t>47</w:t>
      </w:r>
      <w:r w:rsidR="0087371D" w:rsidRPr="007D1D6B">
        <w:rPr>
          <w:rFonts w:ascii="Times New Roman" w:hAnsi="Times New Roman"/>
          <w:sz w:val="24"/>
          <w:szCs w:val="24"/>
        </w:rPr>
        <w:t xml:space="preserve">.  The adjustments that should be made to the Company’s cost estimates to remove the unreasonable costs are set forth in the table below:  </w:t>
      </w:r>
    </w:p>
    <w:p w:rsidR="0087371D" w:rsidRPr="007D1D6B" w:rsidRDefault="0087371D" w:rsidP="00BF13D7">
      <w:pPr>
        <w:spacing w:line="240" w:lineRule="auto"/>
        <w:ind w:left="2880" w:hanging="2880"/>
        <w:contextualSpacing/>
        <w:jc w:val="both"/>
        <w:rPr>
          <w:rFonts w:ascii="Times New Roman" w:hAnsi="Times New Roman"/>
          <w:sz w:val="24"/>
          <w:szCs w:val="24"/>
        </w:rPr>
      </w:pPr>
      <w:r w:rsidRPr="007D1D6B">
        <w:rPr>
          <w:rFonts w:ascii="Times New Roman" w:hAnsi="Times New Roman"/>
          <w:color w:val="373739"/>
          <w:sz w:val="24"/>
          <w:szCs w:val="24"/>
          <w:shd w:val="clear" w:color="auto" w:fill="FFFFFF"/>
        </w:rPr>
        <w:tab/>
      </w:r>
    </w:p>
    <w:tbl>
      <w:tblPr>
        <w:tblW w:w="880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4"/>
        <w:gridCol w:w="1325"/>
        <w:gridCol w:w="1514"/>
        <w:gridCol w:w="1419"/>
      </w:tblGrid>
      <w:tr w:rsidR="0087371D" w:rsidRPr="007D1D6B" w:rsidTr="00056CDD">
        <w:trPr>
          <w:trHeight w:val="542"/>
        </w:trPr>
        <w:tc>
          <w:tcPr>
            <w:tcW w:w="4544" w:type="dxa"/>
            <w:tcBorders>
              <w:top w:val="single" w:sz="4" w:space="0" w:color="auto"/>
              <w:left w:val="single" w:sz="4" w:space="0" w:color="auto"/>
              <w:bottom w:val="single" w:sz="4" w:space="0" w:color="auto"/>
              <w:right w:val="single" w:sz="4" w:space="0" w:color="auto"/>
            </w:tcBorders>
          </w:tcPr>
          <w:p w:rsidR="0087371D" w:rsidRPr="007D1D6B" w:rsidRDefault="0087371D" w:rsidP="00BF13D7">
            <w:pPr>
              <w:widowControl w:val="0"/>
              <w:spacing w:line="240" w:lineRule="auto"/>
              <w:contextualSpacing/>
              <w:jc w:val="both"/>
              <w:rPr>
                <w:rFonts w:ascii="Times New Roman" w:hAnsi="Times New Roman"/>
                <w:b/>
                <w:sz w:val="24"/>
                <w:szCs w:val="24"/>
              </w:rPr>
            </w:pPr>
          </w:p>
        </w:tc>
        <w:tc>
          <w:tcPr>
            <w:tcW w:w="1325" w:type="dxa"/>
            <w:tcBorders>
              <w:top w:val="single" w:sz="4" w:space="0" w:color="auto"/>
              <w:left w:val="single" w:sz="4" w:space="0" w:color="auto"/>
              <w:bottom w:val="single" w:sz="4" w:space="0" w:color="auto"/>
              <w:right w:val="single" w:sz="4" w:space="0" w:color="auto"/>
            </w:tcBorders>
            <w:hideMark/>
          </w:tcPr>
          <w:p w:rsidR="0087371D" w:rsidRPr="007D1D6B" w:rsidRDefault="0087371D" w:rsidP="00BF13D7">
            <w:pPr>
              <w:widowControl w:val="0"/>
              <w:spacing w:line="240" w:lineRule="auto"/>
              <w:contextualSpacing/>
              <w:jc w:val="right"/>
              <w:rPr>
                <w:rFonts w:ascii="Times New Roman" w:hAnsi="Times New Roman"/>
                <w:b/>
                <w:sz w:val="24"/>
                <w:szCs w:val="24"/>
              </w:rPr>
            </w:pPr>
            <w:r w:rsidRPr="007D1D6B">
              <w:rPr>
                <w:rFonts w:ascii="Times New Roman" w:hAnsi="Times New Roman"/>
                <w:b/>
                <w:sz w:val="24"/>
                <w:szCs w:val="24"/>
              </w:rPr>
              <w:t>Capital Cost</w:t>
            </w:r>
          </w:p>
        </w:tc>
        <w:tc>
          <w:tcPr>
            <w:tcW w:w="1514" w:type="dxa"/>
            <w:tcBorders>
              <w:top w:val="single" w:sz="4" w:space="0" w:color="auto"/>
              <w:left w:val="single" w:sz="4" w:space="0" w:color="auto"/>
              <w:bottom w:val="single" w:sz="4" w:space="0" w:color="auto"/>
              <w:right w:val="single" w:sz="4" w:space="0" w:color="auto"/>
            </w:tcBorders>
            <w:hideMark/>
          </w:tcPr>
          <w:p w:rsidR="0087371D" w:rsidRPr="007D1D6B" w:rsidRDefault="0087371D" w:rsidP="00BF13D7">
            <w:pPr>
              <w:widowControl w:val="0"/>
              <w:spacing w:line="240" w:lineRule="auto"/>
              <w:contextualSpacing/>
              <w:jc w:val="right"/>
              <w:rPr>
                <w:rFonts w:ascii="Times New Roman" w:hAnsi="Times New Roman"/>
                <w:b/>
                <w:sz w:val="24"/>
                <w:szCs w:val="24"/>
              </w:rPr>
            </w:pPr>
            <w:r w:rsidRPr="007D1D6B">
              <w:rPr>
                <w:rFonts w:ascii="Times New Roman" w:hAnsi="Times New Roman"/>
                <w:b/>
                <w:sz w:val="24"/>
                <w:szCs w:val="24"/>
              </w:rPr>
              <w:t>Associated Financing</w:t>
            </w:r>
            <w:r w:rsidRPr="007D1D6B">
              <w:rPr>
                <w:rFonts w:ascii="Times New Roman" w:hAnsi="Times New Roman"/>
                <w:sz w:val="24"/>
                <w:szCs w:val="24"/>
                <w:vertAlign w:val="superscript"/>
              </w:rPr>
              <w:t>38</w:t>
            </w:r>
          </w:p>
        </w:tc>
        <w:tc>
          <w:tcPr>
            <w:tcW w:w="1419" w:type="dxa"/>
            <w:tcBorders>
              <w:top w:val="single" w:sz="4" w:space="0" w:color="auto"/>
              <w:left w:val="single" w:sz="4" w:space="0" w:color="auto"/>
              <w:bottom w:val="single" w:sz="4" w:space="0" w:color="auto"/>
              <w:right w:val="single" w:sz="4" w:space="0" w:color="auto"/>
            </w:tcBorders>
            <w:hideMark/>
          </w:tcPr>
          <w:p w:rsidR="0087371D" w:rsidRPr="007D1D6B" w:rsidRDefault="0087371D" w:rsidP="00BF13D7">
            <w:pPr>
              <w:widowControl w:val="0"/>
              <w:spacing w:line="240" w:lineRule="auto"/>
              <w:contextualSpacing/>
              <w:jc w:val="right"/>
              <w:rPr>
                <w:rFonts w:ascii="Times New Roman" w:hAnsi="Times New Roman"/>
                <w:b/>
                <w:sz w:val="24"/>
                <w:szCs w:val="24"/>
              </w:rPr>
            </w:pPr>
            <w:r w:rsidRPr="007D1D6B">
              <w:rPr>
                <w:rFonts w:ascii="Times New Roman" w:hAnsi="Times New Roman"/>
                <w:b/>
                <w:sz w:val="24"/>
                <w:szCs w:val="24"/>
              </w:rPr>
              <w:t>Total</w:t>
            </w:r>
          </w:p>
        </w:tc>
      </w:tr>
      <w:tr w:rsidR="0087371D" w:rsidRPr="007D1D6B" w:rsidTr="00056CDD">
        <w:trPr>
          <w:trHeight w:val="279"/>
        </w:trPr>
        <w:tc>
          <w:tcPr>
            <w:tcW w:w="4544" w:type="dxa"/>
            <w:tcBorders>
              <w:top w:val="single" w:sz="4" w:space="0" w:color="auto"/>
              <w:left w:val="single" w:sz="4" w:space="0" w:color="auto"/>
              <w:bottom w:val="single" w:sz="4" w:space="0" w:color="auto"/>
              <w:right w:val="single" w:sz="4" w:space="0" w:color="auto"/>
            </w:tcBorders>
            <w:shd w:val="clear" w:color="auto" w:fill="BFBFBF"/>
            <w:hideMark/>
          </w:tcPr>
          <w:p w:rsidR="0087371D" w:rsidRPr="007D1D6B" w:rsidRDefault="0087371D" w:rsidP="00BF13D7">
            <w:pPr>
              <w:widowControl w:val="0"/>
              <w:spacing w:line="240" w:lineRule="auto"/>
              <w:contextualSpacing/>
              <w:jc w:val="both"/>
              <w:rPr>
                <w:rFonts w:ascii="Times New Roman" w:hAnsi="Times New Roman"/>
                <w:sz w:val="24"/>
                <w:szCs w:val="24"/>
                <w:highlight w:val="lightGray"/>
              </w:rPr>
            </w:pPr>
            <w:r w:rsidRPr="007D1D6B">
              <w:rPr>
                <w:rFonts w:ascii="Times New Roman" w:hAnsi="Times New Roman"/>
                <w:sz w:val="24"/>
                <w:szCs w:val="24"/>
              </w:rPr>
              <w:t>Company $8.771 B request</w:t>
            </w:r>
          </w:p>
        </w:tc>
        <w:tc>
          <w:tcPr>
            <w:tcW w:w="132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8,771</w:t>
            </w:r>
          </w:p>
        </w:tc>
        <w:tc>
          <w:tcPr>
            <w:tcW w:w="151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3,399</w:t>
            </w:r>
          </w:p>
        </w:tc>
        <w:tc>
          <w:tcPr>
            <w:tcW w:w="141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12,170</w:t>
            </w:r>
          </w:p>
        </w:tc>
      </w:tr>
      <w:tr w:rsidR="0087371D" w:rsidRPr="007D1D6B" w:rsidTr="00056CDD">
        <w:trPr>
          <w:trHeight w:val="149"/>
        </w:trPr>
        <w:tc>
          <w:tcPr>
            <w:tcW w:w="4544" w:type="dxa"/>
            <w:tcBorders>
              <w:top w:val="single" w:sz="4" w:space="0" w:color="auto"/>
              <w:left w:val="single" w:sz="4" w:space="0" w:color="auto"/>
              <w:bottom w:val="single" w:sz="4" w:space="0" w:color="auto"/>
              <w:right w:val="single" w:sz="4" w:space="0" w:color="auto"/>
            </w:tcBorders>
            <w:hideMark/>
          </w:tcPr>
          <w:p w:rsidR="0087371D" w:rsidRPr="007D1D6B" w:rsidRDefault="0087371D" w:rsidP="00BF13D7">
            <w:pPr>
              <w:widowControl w:val="0"/>
              <w:spacing w:line="240" w:lineRule="auto"/>
              <w:contextualSpacing/>
              <w:rPr>
                <w:rFonts w:ascii="Times New Roman" w:hAnsi="Times New Roman"/>
                <w:sz w:val="24"/>
                <w:szCs w:val="24"/>
              </w:rPr>
            </w:pPr>
            <w:r w:rsidRPr="007D1D6B">
              <w:rPr>
                <w:rFonts w:ascii="Times New Roman" w:hAnsi="Times New Roman"/>
                <w:sz w:val="24"/>
                <w:szCs w:val="24"/>
              </w:rPr>
              <w:t>Toshiba Parental Guarantee</w:t>
            </w:r>
            <w:r w:rsidRPr="007D1D6B">
              <w:rPr>
                <w:rFonts w:ascii="Times New Roman" w:hAnsi="Times New Roman"/>
                <w:sz w:val="24"/>
                <w:szCs w:val="24"/>
                <w:vertAlign w:val="superscript"/>
              </w:rPr>
              <w:t>39</w:t>
            </w:r>
          </w:p>
        </w:tc>
        <w:tc>
          <w:tcPr>
            <w:tcW w:w="1325" w:type="dxa"/>
            <w:tcBorders>
              <w:top w:val="single" w:sz="4" w:space="0" w:color="auto"/>
              <w:left w:val="single" w:sz="4" w:space="0" w:color="auto"/>
              <w:bottom w:val="single" w:sz="4" w:space="0" w:color="auto"/>
              <w:right w:val="single" w:sz="4" w:space="0" w:color="auto"/>
            </w:tcBorders>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 xml:space="preserve"> (1,682)</w:t>
            </w:r>
          </w:p>
        </w:tc>
        <w:tc>
          <w:tcPr>
            <w:tcW w:w="1514" w:type="dxa"/>
            <w:tcBorders>
              <w:top w:val="single" w:sz="4" w:space="0" w:color="auto"/>
              <w:left w:val="single" w:sz="4" w:space="0" w:color="auto"/>
              <w:bottom w:val="single" w:sz="4" w:space="0" w:color="auto"/>
              <w:right w:val="single" w:sz="4" w:space="0" w:color="auto"/>
            </w:tcBorders>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 </w:t>
            </w:r>
          </w:p>
        </w:tc>
        <w:tc>
          <w:tcPr>
            <w:tcW w:w="1419" w:type="dxa"/>
            <w:tcBorders>
              <w:top w:val="single" w:sz="4" w:space="0" w:color="auto"/>
              <w:left w:val="single" w:sz="4" w:space="0" w:color="auto"/>
              <w:bottom w:val="single" w:sz="4" w:space="0" w:color="auto"/>
              <w:right w:val="single" w:sz="4" w:space="0" w:color="auto"/>
            </w:tcBorders>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 xml:space="preserve"> (1,682)</w:t>
            </w:r>
          </w:p>
        </w:tc>
      </w:tr>
      <w:tr w:rsidR="0087371D" w:rsidRPr="007D1D6B" w:rsidTr="00056CDD">
        <w:trPr>
          <w:trHeight w:val="225"/>
        </w:trPr>
        <w:tc>
          <w:tcPr>
            <w:tcW w:w="4544" w:type="dxa"/>
            <w:tcBorders>
              <w:top w:val="single" w:sz="4" w:space="0" w:color="auto"/>
              <w:left w:val="single" w:sz="4" w:space="0" w:color="auto"/>
              <w:bottom w:val="single" w:sz="4" w:space="0" w:color="auto"/>
              <w:right w:val="single" w:sz="4" w:space="0" w:color="auto"/>
            </w:tcBorders>
            <w:hideMark/>
          </w:tcPr>
          <w:p w:rsidR="0087371D" w:rsidRPr="007D1D6B" w:rsidRDefault="0087371D" w:rsidP="00BF13D7">
            <w:pPr>
              <w:widowControl w:val="0"/>
              <w:spacing w:line="240" w:lineRule="auto"/>
              <w:contextualSpacing/>
              <w:rPr>
                <w:rFonts w:ascii="Times New Roman" w:hAnsi="Times New Roman"/>
                <w:sz w:val="24"/>
                <w:szCs w:val="24"/>
              </w:rPr>
            </w:pPr>
            <w:r w:rsidRPr="007D1D6B">
              <w:rPr>
                <w:rFonts w:ascii="Times New Roman" w:hAnsi="Times New Roman"/>
                <w:sz w:val="24"/>
                <w:szCs w:val="24"/>
              </w:rPr>
              <w:t xml:space="preserve">Schedule Contingency </w:t>
            </w:r>
          </w:p>
        </w:tc>
        <w:tc>
          <w:tcPr>
            <w:tcW w:w="1325" w:type="dxa"/>
            <w:tcBorders>
              <w:top w:val="single" w:sz="4" w:space="0" w:color="auto"/>
              <w:left w:val="single" w:sz="4" w:space="0" w:color="auto"/>
              <w:bottom w:val="single" w:sz="4" w:space="0" w:color="auto"/>
              <w:right w:val="single" w:sz="4" w:space="0" w:color="auto"/>
            </w:tcBorders>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(530)</w:t>
            </w:r>
          </w:p>
        </w:tc>
        <w:tc>
          <w:tcPr>
            <w:tcW w:w="1514" w:type="dxa"/>
            <w:tcBorders>
              <w:top w:val="single" w:sz="4" w:space="0" w:color="auto"/>
              <w:left w:val="single" w:sz="4" w:space="0" w:color="auto"/>
              <w:bottom w:val="single" w:sz="4" w:space="0" w:color="auto"/>
              <w:right w:val="single" w:sz="4" w:space="0" w:color="auto"/>
            </w:tcBorders>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 xml:space="preserve"> (69)</w:t>
            </w:r>
          </w:p>
        </w:tc>
        <w:tc>
          <w:tcPr>
            <w:tcW w:w="1419" w:type="dxa"/>
            <w:tcBorders>
              <w:top w:val="single" w:sz="4" w:space="0" w:color="auto"/>
              <w:left w:val="single" w:sz="4" w:space="0" w:color="auto"/>
              <w:bottom w:val="single" w:sz="4" w:space="0" w:color="auto"/>
              <w:right w:val="single" w:sz="4" w:space="0" w:color="auto"/>
            </w:tcBorders>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(599)</w:t>
            </w:r>
          </w:p>
        </w:tc>
      </w:tr>
      <w:tr w:rsidR="0087371D" w:rsidRPr="007D1D6B" w:rsidTr="00056CDD">
        <w:trPr>
          <w:trHeight w:val="279"/>
        </w:trPr>
        <w:tc>
          <w:tcPr>
            <w:tcW w:w="4544" w:type="dxa"/>
            <w:tcBorders>
              <w:top w:val="single" w:sz="4" w:space="0" w:color="auto"/>
              <w:left w:val="single" w:sz="4" w:space="0" w:color="auto"/>
              <w:bottom w:val="single" w:sz="4" w:space="0" w:color="auto"/>
              <w:right w:val="single" w:sz="4" w:space="0" w:color="auto"/>
            </w:tcBorders>
            <w:hideMark/>
          </w:tcPr>
          <w:p w:rsidR="0087371D" w:rsidRPr="007D1D6B" w:rsidRDefault="0087371D" w:rsidP="00BF13D7">
            <w:pPr>
              <w:widowControl w:val="0"/>
              <w:spacing w:line="240" w:lineRule="auto"/>
              <w:contextualSpacing/>
              <w:rPr>
                <w:rFonts w:ascii="Times New Roman" w:hAnsi="Times New Roman"/>
                <w:sz w:val="24"/>
                <w:szCs w:val="24"/>
              </w:rPr>
            </w:pPr>
            <w:r w:rsidRPr="007D1D6B">
              <w:rPr>
                <w:rFonts w:ascii="Times New Roman" w:hAnsi="Times New Roman"/>
                <w:sz w:val="24"/>
                <w:szCs w:val="24"/>
              </w:rPr>
              <w:t xml:space="preserve">Interim Payments and Liens </w:t>
            </w:r>
          </w:p>
        </w:tc>
        <w:tc>
          <w:tcPr>
            <w:tcW w:w="1325" w:type="dxa"/>
            <w:tcBorders>
              <w:top w:val="single" w:sz="4" w:space="0" w:color="auto"/>
              <w:left w:val="single" w:sz="4" w:space="0" w:color="auto"/>
              <w:bottom w:val="single" w:sz="4" w:space="0" w:color="auto"/>
              <w:right w:val="single" w:sz="4" w:space="0" w:color="auto"/>
            </w:tcBorders>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(493)</w:t>
            </w:r>
          </w:p>
        </w:tc>
        <w:tc>
          <w:tcPr>
            <w:tcW w:w="1514" w:type="dxa"/>
            <w:tcBorders>
              <w:top w:val="single" w:sz="4" w:space="0" w:color="auto"/>
              <w:left w:val="single" w:sz="4" w:space="0" w:color="auto"/>
              <w:bottom w:val="single" w:sz="4" w:space="0" w:color="auto"/>
              <w:right w:val="single" w:sz="4" w:space="0" w:color="auto"/>
            </w:tcBorders>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 xml:space="preserve"> (164)</w:t>
            </w:r>
          </w:p>
        </w:tc>
        <w:tc>
          <w:tcPr>
            <w:tcW w:w="1419" w:type="dxa"/>
            <w:tcBorders>
              <w:top w:val="single" w:sz="4" w:space="0" w:color="auto"/>
              <w:left w:val="single" w:sz="4" w:space="0" w:color="auto"/>
              <w:bottom w:val="single" w:sz="4" w:space="0" w:color="auto"/>
              <w:right w:val="single" w:sz="4" w:space="0" w:color="auto"/>
            </w:tcBorders>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(657)</w:t>
            </w:r>
          </w:p>
        </w:tc>
      </w:tr>
      <w:tr w:rsidR="0087371D" w:rsidRPr="007D1D6B" w:rsidTr="00056CDD">
        <w:trPr>
          <w:trHeight w:val="279"/>
        </w:trPr>
        <w:tc>
          <w:tcPr>
            <w:tcW w:w="4544" w:type="dxa"/>
            <w:tcBorders>
              <w:top w:val="single" w:sz="4" w:space="0" w:color="auto"/>
              <w:left w:val="single" w:sz="4" w:space="0" w:color="auto"/>
              <w:bottom w:val="single" w:sz="4" w:space="0" w:color="auto"/>
              <w:right w:val="single" w:sz="4" w:space="0" w:color="auto"/>
            </w:tcBorders>
            <w:hideMark/>
          </w:tcPr>
          <w:p w:rsidR="0087371D" w:rsidRPr="007D1D6B" w:rsidRDefault="0087371D" w:rsidP="00BF13D7">
            <w:pPr>
              <w:widowControl w:val="0"/>
              <w:spacing w:line="240" w:lineRule="auto"/>
              <w:contextualSpacing/>
              <w:rPr>
                <w:rFonts w:ascii="Times New Roman" w:hAnsi="Times New Roman"/>
                <w:sz w:val="24"/>
                <w:szCs w:val="24"/>
              </w:rPr>
            </w:pPr>
            <w:r w:rsidRPr="007D1D6B">
              <w:rPr>
                <w:rFonts w:ascii="Times New Roman" w:hAnsi="Times New Roman"/>
                <w:sz w:val="24"/>
                <w:szCs w:val="24"/>
              </w:rPr>
              <w:t xml:space="preserve">Mobilization costs beyond Dec 31, 2020 </w:t>
            </w:r>
          </w:p>
        </w:tc>
        <w:tc>
          <w:tcPr>
            <w:tcW w:w="1325" w:type="dxa"/>
            <w:tcBorders>
              <w:top w:val="single" w:sz="4" w:space="0" w:color="auto"/>
              <w:left w:val="single" w:sz="4" w:space="0" w:color="auto"/>
              <w:bottom w:val="single" w:sz="4" w:space="0" w:color="auto"/>
              <w:right w:val="single" w:sz="4" w:space="0" w:color="auto"/>
            </w:tcBorders>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(230)</w:t>
            </w:r>
          </w:p>
        </w:tc>
        <w:tc>
          <w:tcPr>
            <w:tcW w:w="1514" w:type="dxa"/>
            <w:tcBorders>
              <w:top w:val="single" w:sz="4" w:space="0" w:color="auto"/>
              <w:left w:val="single" w:sz="4" w:space="0" w:color="auto"/>
              <w:bottom w:val="single" w:sz="4" w:space="0" w:color="auto"/>
              <w:right w:val="single" w:sz="4" w:space="0" w:color="auto"/>
            </w:tcBorders>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 xml:space="preserve"> (8)</w:t>
            </w:r>
          </w:p>
        </w:tc>
        <w:tc>
          <w:tcPr>
            <w:tcW w:w="1419" w:type="dxa"/>
            <w:tcBorders>
              <w:top w:val="single" w:sz="4" w:space="0" w:color="auto"/>
              <w:left w:val="single" w:sz="4" w:space="0" w:color="auto"/>
              <w:bottom w:val="single" w:sz="4" w:space="0" w:color="auto"/>
              <w:right w:val="single" w:sz="4" w:space="0" w:color="auto"/>
            </w:tcBorders>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(238)</w:t>
            </w:r>
          </w:p>
        </w:tc>
      </w:tr>
      <w:tr w:rsidR="0087371D" w:rsidRPr="007D1D6B" w:rsidTr="00056CDD">
        <w:trPr>
          <w:trHeight w:val="279"/>
        </w:trPr>
        <w:tc>
          <w:tcPr>
            <w:tcW w:w="4544" w:type="dxa"/>
            <w:tcBorders>
              <w:top w:val="single" w:sz="4" w:space="0" w:color="auto"/>
              <w:left w:val="single" w:sz="4" w:space="0" w:color="auto"/>
              <w:bottom w:val="single" w:sz="4" w:space="0" w:color="auto"/>
              <w:right w:val="single" w:sz="4" w:space="0" w:color="auto"/>
            </w:tcBorders>
            <w:shd w:val="clear" w:color="auto" w:fill="BFBFBF"/>
            <w:hideMark/>
          </w:tcPr>
          <w:p w:rsidR="0087371D" w:rsidRPr="007D1D6B" w:rsidRDefault="0087371D" w:rsidP="00BF13D7">
            <w:pPr>
              <w:widowControl w:val="0"/>
              <w:spacing w:line="240" w:lineRule="auto"/>
              <w:contextualSpacing/>
              <w:jc w:val="both"/>
              <w:rPr>
                <w:rFonts w:ascii="Times New Roman" w:hAnsi="Times New Roman"/>
                <w:sz w:val="24"/>
                <w:szCs w:val="24"/>
              </w:rPr>
            </w:pPr>
            <w:r w:rsidRPr="007D1D6B">
              <w:rPr>
                <w:rFonts w:ascii="Times New Roman" w:hAnsi="Times New Roman"/>
                <w:sz w:val="24"/>
                <w:szCs w:val="24"/>
              </w:rPr>
              <w:t>Staff Quantification</w:t>
            </w:r>
          </w:p>
        </w:tc>
        <w:tc>
          <w:tcPr>
            <w:tcW w:w="132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5,836</w:t>
            </w:r>
          </w:p>
        </w:tc>
        <w:tc>
          <w:tcPr>
            <w:tcW w:w="151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3,158</w:t>
            </w:r>
          </w:p>
        </w:tc>
        <w:tc>
          <w:tcPr>
            <w:tcW w:w="141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7371D" w:rsidRPr="007D1D6B" w:rsidRDefault="0087371D" w:rsidP="00BF13D7">
            <w:pPr>
              <w:spacing w:line="240" w:lineRule="auto"/>
              <w:contextualSpacing/>
              <w:jc w:val="right"/>
              <w:rPr>
                <w:rFonts w:ascii="Times New Roman" w:hAnsi="Times New Roman"/>
                <w:color w:val="000000"/>
                <w:sz w:val="24"/>
                <w:szCs w:val="24"/>
              </w:rPr>
            </w:pPr>
            <w:r w:rsidRPr="007D1D6B">
              <w:rPr>
                <w:rFonts w:ascii="Times New Roman" w:hAnsi="Times New Roman"/>
                <w:color w:val="000000"/>
                <w:sz w:val="24"/>
                <w:szCs w:val="24"/>
              </w:rPr>
              <w:t>8,994</w:t>
            </w:r>
          </w:p>
        </w:tc>
      </w:tr>
    </w:tbl>
    <w:p w:rsidR="0087371D" w:rsidRPr="007D1D6B" w:rsidRDefault="0087371D" w:rsidP="00BF13D7">
      <w:pPr>
        <w:spacing w:line="240" w:lineRule="auto"/>
        <w:ind w:left="2880" w:hanging="2880"/>
        <w:jc w:val="both"/>
        <w:rPr>
          <w:rFonts w:ascii="Times New Roman" w:hAnsi="Times New Roman"/>
          <w:sz w:val="24"/>
          <w:szCs w:val="24"/>
        </w:rPr>
      </w:pPr>
    </w:p>
    <w:p w:rsidR="0087371D" w:rsidRPr="007D1D6B" w:rsidRDefault="0087371D" w:rsidP="00BF13D7">
      <w:pPr>
        <w:spacing w:line="240" w:lineRule="auto"/>
        <w:rPr>
          <w:rFonts w:ascii="Times New Roman" w:hAnsi="Times New Roman"/>
          <w:sz w:val="24"/>
          <w:szCs w:val="24"/>
        </w:rPr>
      </w:pPr>
    </w:p>
    <w:p w:rsidR="00837B08" w:rsidRPr="00215B57" w:rsidRDefault="00BF13D7" w:rsidP="00BF13D7">
      <w:pPr>
        <w:spacing w:line="240" w:lineRule="auto"/>
        <w:jc w:val="center"/>
        <w:rPr>
          <w:rFonts w:ascii="Times New Roman" w:hAnsi="Times New Roman"/>
          <w:b/>
          <w:sz w:val="24"/>
          <w:szCs w:val="24"/>
          <w:u w:val="single"/>
        </w:rPr>
      </w:pPr>
      <w:r w:rsidRPr="00BF13D7">
        <w:rPr>
          <w:rFonts w:ascii="Times New Roman" w:hAnsi="Times New Roman"/>
          <w:b/>
          <w:sz w:val="24"/>
          <w:szCs w:val="24"/>
        </w:rPr>
        <w:t>V.</w:t>
      </w:r>
      <w:r w:rsidRPr="00BF13D7">
        <w:rPr>
          <w:rFonts w:ascii="Times New Roman" w:hAnsi="Times New Roman"/>
          <w:b/>
          <w:sz w:val="24"/>
          <w:szCs w:val="24"/>
        </w:rPr>
        <w:tab/>
      </w:r>
      <w:r w:rsidR="00837B08" w:rsidRPr="00215B57">
        <w:rPr>
          <w:rFonts w:ascii="Times New Roman" w:hAnsi="Times New Roman"/>
          <w:b/>
          <w:sz w:val="24"/>
          <w:szCs w:val="24"/>
          <w:u w:val="single"/>
        </w:rPr>
        <w:t>C</w:t>
      </w:r>
      <w:r w:rsidR="0087371D" w:rsidRPr="00215B57">
        <w:rPr>
          <w:rFonts w:ascii="Times New Roman" w:hAnsi="Times New Roman"/>
          <w:b/>
          <w:sz w:val="24"/>
          <w:szCs w:val="24"/>
          <w:u w:val="single"/>
        </w:rPr>
        <w:t>ONCLUSIONS OF LAW</w:t>
      </w:r>
    </w:p>
    <w:p w:rsidR="00293EBD" w:rsidRPr="00BF13D7" w:rsidRDefault="00210CD2" w:rsidP="00BF13D7">
      <w:pPr>
        <w:spacing w:line="240" w:lineRule="auto"/>
        <w:jc w:val="both"/>
        <w:rPr>
          <w:rFonts w:ascii="Times New Roman" w:hAnsi="Times New Roman"/>
          <w:sz w:val="24"/>
          <w:szCs w:val="24"/>
        </w:rPr>
      </w:pPr>
      <w:r>
        <w:rPr>
          <w:rFonts w:ascii="Times New Roman" w:hAnsi="Times New Roman"/>
          <w:sz w:val="24"/>
          <w:szCs w:val="24"/>
        </w:rPr>
        <w:t xml:space="preserve">1.  Upon completion of the plant, </w:t>
      </w:r>
      <w:r w:rsidR="00293EBD">
        <w:rPr>
          <w:rFonts w:ascii="Times New Roman" w:hAnsi="Times New Roman"/>
          <w:sz w:val="24"/>
          <w:szCs w:val="24"/>
        </w:rPr>
        <w:t>Georgia Power</w:t>
      </w:r>
      <w:r>
        <w:rPr>
          <w:rFonts w:ascii="Times New Roman" w:hAnsi="Times New Roman"/>
          <w:sz w:val="24"/>
          <w:szCs w:val="24"/>
        </w:rPr>
        <w:t xml:space="preserve"> may recover plant construction costs that do not exceed 100 percent of those approved by the Commission under </w:t>
      </w:r>
      <w:r w:rsidR="0093259A">
        <w:rPr>
          <w:rFonts w:ascii="Times New Roman" w:hAnsi="Times New Roman"/>
          <w:sz w:val="24"/>
          <w:szCs w:val="24"/>
        </w:rPr>
        <w:t xml:space="preserve">O.C.G.A. §§ </w:t>
      </w:r>
      <w:r>
        <w:rPr>
          <w:rFonts w:ascii="Times New Roman" w:hAnsi="Times New Roman"/>
          <w:sz w:val="24"/>
          <w:szCs w:val="24"/>
        </w:rPr>
        <w:t xml:space="preserve">46-3A-5, 46-3A-6 or 46-3A-7(b), unless it is </w:t>
      </w:r>
      <w:r w:rsidRPr="00BF13D7">
        <w:rPr>
          <w:rFonts w:ascii="Times New Roman" w:hAnsi="Times New Roman"/>
          <w:sz w:val="24"/>
          <w:szCs w:val="24"/>
        </w:rPr>
        <w:t xml:space="preserve">shown that there has been fraud, concealment, failure to disclose a material fact, imprudence or criminal misconduct.  The </w:t>
      </w:r>
      <w:r w:rsidR="00293EBD" w:rsidRPr="00BF13D7">
        <w:rPr>
          <w:rFonts w:ascii="Times New Roman" w:hAnsi="Times New Roman"/>
          <w:sz w:val="24"/>
          <w:szCs w:val="24"/>
        </w:rPr>
        <w:t>burden rests with the party requesting that the Commission disallow approved costs. O.C.G.A. § 46-3A-7(a).</w:t>
      </w:r>
      <w:r w:rsidR="007F7E2B" w:rsidRPr="00BF13D7">
        <w:rPr>
          <w:rFonts w:ascii="Times New Roman" w:hAnsi="Times New Roman"/>
          <w:sz w:val="24"/>
          <w:szCs w:val="24"/>
        </w:rPr>
        <w:t xml:space="preserve">  </w:t>
      </w:r>
    </w:p>
    <w:p w:rsidR="003B00B5" w:rsidRPr="00BF13D7" w:rsidRDefault="00293EBD" w:rsidP="00BF13D7">
      <w:pPr>
        <w:spacing w:line="240" w:lineRule="auto"/>
        <w:jc w:val="both"/>
        <w:rPr>
          <w:rFonts w:ascii="Times New Roman" w:hAnsi="Times New Roman"/>
          <w:i/>
          <w:sz w:val="24"/>
          <w:szCs w:val="24"/>
        </w:rPr>
      </w:pPr>
      <w:r w:rsidRPr="00BF13D7">
        <w:rPr>
          <w:rFonts w:ascii="Times New Roman" w:hAnsi="Times New Roman"/>
          <w:sz w:val="24"/>
          <w:szCs w:val="24"/>
        </w:rPr>
        <w:t xml:space="preserve">2.  Georgia Power shall not be permitted to recover costs in excess of 100 percent of those approved by the Commission unless shown by the utility to have been reasonable and prudent.  </w:t>
      </w:r>
      <w:r w:rsidRPr="00BF13D7">
        <w:rPr>
          <w:rFonts w:ascii="Times New Roman" w:hAnsi="Times New Roman"/>
          <w:i/>
          <w:sz w:val="24"/>
          <w:szCs w:val="24"/>
        </w:rPr>
        <w:t>Id.</w:t>
      </w:r>
    </w:p>
    <w:p w:rsidR="003B00B5" w:rsidRPr="00BF13D7" w:rsidRDefault="008D507A" w:rsidP="00BF13D7">
      <w:pPr>
        <w:spacing w:line="240" w:lineRule="auto"/>
        <w:jc w:val="both"/>
        <w:rPr>
          <w:rFonts w:ascii="Times New Roman" w:hAnsi="Times New Roman"/>
          <w:i/>
          <w:sz w:val="24"/>
          <w:szCs w:val="24"/>
        </w:rPr>
      </w:pPr>
      <w:r w:rsidRPr="00BF13D7">
        <w:rPr>
          <w:rFonts w:ascii="Times New Roman" w:hAnsi="Times New Roman"/>
          <w:sz w:val="24"/>
          <w:szCs w:val="24"/>
        </w:rPr>
        <w:t xml:space="preserve">3.  </w:t>
      </w:r>
      <w:r w:rsidR="00EF5C67" w:rsidRPr="00BF13D7">
        <w:rPr>
          <w:rFonts w:ascii="Times New Roman" w:hAnsi="Times New Roman"/>
          <w:color w:val="373739"/>
          <w:sz w:val="24"/>
          <w:szCs w:val="24"/>
          <w:shd w:val="clear" w:color="auto" w:fill="FFFFFF"/>
        </w:rPr>
        <w:t xml:space="preserve"> The IRP Act provides Georgia Power with the discretion as to whether to file proposed revisions to the cost estimates, construction schedule or </w:t>
      </w:r>
      <w:r w:rsidR="00963E29">
        <w:rPr>
          <w:rFonts w:ascii="Times New Roman" w:hAnsi="Times New Roman"/>
          <w:color w:val="373739"/>
          <w:sz w:val="24"/>
          <w:szCs w:val="24"/>
          <w:shd w:val="clear" w:color="auto" w:fill="FFFFFF"/>
        </w:rPr>
        <w:t>Project</w:t>
      </w:r>
      <w:r w:rsidR="00EF5C67" w:rsidRPr="00BF13D7">
        <w:rPr>
          <w:rFonts w:ascii="Times New Roman" w:hAnsi="Times New Roman"/>
          <w:color w:val="373739"/>
          <w:sz w:val="24"/>
          <w:szCs w:val="24"/>
          <w:shd w:val="clear" w:color="auto" w:fill="FFFFFF"/>
        </w:rPr>
        <w:t xml:space="preserve"> configuration.  O.C.G.A. § 46-3A-7(b).  The Commission recently determined that the settlements that the Staff and Company entered into </w:t>
      </w:r>
      <w:r w:rsidR="006D272F" w:rsidRPr="00BF13D7">
        <w:rPr>
          <w:rFonts w:ascii="Times New Roman" w:hAnsi="Times New Roman"/>
          <w:color w:val="373739"/>
          <w:sz w:val="24"/>
          <w:szCs w:val="24"/>
          <w:shd w:val="clear" w:color="auto" w:fill="FFFFFF"/>
        </w:rPr>
        <w:t xml:space="preserve">and were approved by this Commission </w:t>
      </w:r>
      <w:r w:rsidR="00E4323F" w:rsidRPr="00BF13D7">
        <w:rPr>
          <w:rFonts w:ascii="Times New Roman" w:hAnsi="Times New Roman"/>
          <w:color w:val="373739"/>
          <w:sz w:val="24"/>
          <w:szCs w:val="24"/>
          <w:shd w:val="clear" w:color="auto" w:fill="FFFFFF"/>
        </w:rPr>
        <w:t>in the 8</w:t>
      </w:r>
      <w:r w:rsidR="00EF5C67" w:rsidRPr="00BF13D7">
        <w:rPr>
          <w:rFonts w:ascii="Times New Roman" w:hAnsi="Times New Roman"/>
          <w:color w:val="373739"/>
          <w:sz w:val="24"/>
          <w:szCs w:val="24"/>
          <w:shd w:val="clear" w:color="auto" w:fill="FFFFFF"/>
          <w:vertAlign w:val="superscript"/>
        </w:rPr>
        <w:t>t</w:t>
      </w:r>
      <w:r w:rsidR="00E4323F" w:rsidRPr="00BF13D7">
        <w:rPr>
          <w:rFonts w:ascii="Times New Roman" w:hAnsi="Times New Roman"/>
          <w:color w:val="373739"/>
          <w:sz w:val="24"/>
          <w:szCs w:val="24"/>
          <w:shd w:val="clear" w:color="auto" w:fill="FFFFFF"/>
          <w:vertAlign w:val="superscript"/>
        </w:rPr>
        <w:t xml:space="preserve">h, </w:t>
      </w:r>
      <w:r w:rsidR="00E4323F" w:rsidRPr="00BF13D7">
        <w:rPr>
          <w:rFonts w:ascii="Times New Roman" w:hAnsi="Times New Roman"/>
          <w:color w:val="373739"/>
          <w:sz w:val="24"/>
          <w:szCs w:val="24"/>
          <w:shd w:val="clear" w:color="auto" w:fill="FFFFFF"/>
        </w:rPr>
        <w:t>12</w:t>
      </w:r>
      <w:r w:rsidR="00EF5C67" w:rsidRPr="00BF13D7">
        <w:rPr>
          <w:rFonts w:ascii="Times New Roman" w:hAnsi="Times New Roman"/>
          <w:color w:val="373739"/>
          <w:sz w:val="24"/>
          <w:szCs w:val="24"/>
          <w:shd w:val="clear" w:color="auto" w:fill="FFFFFF"/>
          <w:vertAlign w:val="superscript"/>
        </w:rPr>
        <w:t>th</w:t>
      </w:r>
      <w:r w:rsidR="00E4323F" w:rsidRPr="00BF13D7">
        <w:rPr>
          <w:rFonts w:ascii="Times New Roman" w:hAnsi="Times New Roman"/>
          <w:color w:val="373739"/>
          <w:sz w:val="24"/>
          <w:szCs w:val="24"/>
          <w:shd w:val="clear" w:color="auto" w:fill="FFFFFF"/>
        </w:rPr>
        <w:t xml:space="preserve"> and 16</w:t>
      </w:r>
      <w:r w:rsidR="00EF5C67" w:rsidRPr="00BF13D7">
        <w:rPr>
          <w:rFonts w:ascii="Times New Roman" w:hAnsi="Times New Roman"/>
          <w:color w:val="373739"/>
          <w:sz w:val="24"/>
          <w:szCs w:val="24"/>
          <w:shd w:val="clear" w:color="auto" w:fill="FFFFFF"/>
          <w:vertAlign w:val="superscript"/>
        </w:rPr>
        <w:t>th</w:t>
      </w:r>
      <w:r w:rsidR="00E4323F" w:rsidRPr="00BF13D7">
        <w:rPr>
          <w:rFonts w:ascii="Times New Roman" w:hAnsi="Times New Roman"/>
          <w:color w:val="373739"/>
          <w:sz w:val="24"/>
          <w:szCs w:val="24"/>
          <w:shd w:val="clear" w:color="auto" w:fill="FFFFFF"/>
        </w:rPr>
        <w:t xml:space="preserve"> VCM</w:t>
      </w:r>
      <w:r w:rsidR="0009031E" w:rsidRPr="00BF13D7">
        <w:rPr>
          <w:rFonts w:ascii="Times New Roman" w:hAnsi="Times New Roman"/>
          <w:color w:val="373739"/>
          <w:sz w:val="24"/>
          <w:szCs w:val="24"/>
          <w:shd w:val="clear" w:color="auto" w:fill="FFFFFF"/>
        </w:rPr>
        <w:t>s</w:t>
      </w:r>
      <w:r w:rsidR="00EF5C67" w:rsidRPr="00BF13D7">
        <w:rPr>
          <w:rFonts w:ascii="Times New Roman" w:hAnsi="Times New Roman"/>
          <w:color w:val="373739"/>
          <w:sz w:val="24"/>
          <w:szCs w:val="24"/>
          <w:shd w:val="clear" w:color="auto" w:fill="FFFFFF"/>
        </w:rPr>
        <w:t xml:space="preserve"> did not provide that any filing by the Company to revise costs and schedules was deemed withdrawn and refiled at the end of the Project.  (September 21, 2017 Procedural and Scheduling Order</w:t>
      </w:r>
      <w:r w:rsidR="00C24ED6" w:rsidRPr="00BF13D7">
        <w:rPr>
          <w:rFonts w:ascii="Times New Roman" w:hAnsi="Times New Roman"/>
          <w:color w:val="373739"/>
          <w:sz w:val="24"/>
          <w:szCs w:val="24"/>
          <w:shd w:val="clear" w:color="auto" w:fill="FFFFFF"/>
        </w:rPr>
        <w:t>)</w:t>
      </w:r>
      <w:r w:rsidR="00EF5C67" w:rsidRPr="00BF13D7">
        <w:rPr>
          <w:rFonts w:ascii="Times New Roman" w:hAnsi="Times New Roman"/>
          <w:color w:val="373739"/>
          <w:sz w:val="24"/>
          <w:szCs w:val="24"/>
          <w:shd w:val="clear" w:color="auto" w:fill="FFFFFF"/>
        </w:rPr>
        <w:t xml:space="preserve">. </w:t>
      </w:r>
      <w:r w:rsidR="00833587" w:rsidRPr="00BF13D7">
        <w:rPr>
          <w:rFonts w:ascii="Times New Roman" w:hAnsi="Times New Roman"/>
          <w:color w:val="373739"/>
          <w:sz w:val="24"/>
          <w:szCs w:val="24"/>
          <w:shd w:val="clear" w:color="auto" w:fill="FFFFFF"/>
        </w:rPr>
        <w:t>Therefore, the Commission must either approve, disapprove or modify the proposed revisions within 180 days of the Company’s filing</w:t>
      </w:r>
      <w:r w:rsidR="00C24ED6" w:rsidRPr="00BF13D7">
        <w:rPr>
          <w:rFonts w:ascii="Times New Roman" w:hAnsi="Times New Roman"/>
          <w:color w:val="373739"/>
          <w:sz w:val="24"/>
          <w:szCs w:val="24"/>
          <w:shd w:val="clear" w:color="auto" w:fill="FFFFFF"/>
        </w:rPr>
        <w:t xml:space="preserve"> to revise schedules and costs</w:t>
      </w:r>
      <w:r w:rsidR="00E4323F" w:rsidRPr="00BF13D7">
        <w:rPr>
          <w:rFonts w:ascii="Times New Roman" w:hAnsi="Times New Roman"/>
          <w:color w:val="373739"/>
          <w:sz w:val="24"/>
          <w:szCs w:val="24"/>
          <w:shd w:val="clear" w:color="auto" w:fill="FFFFFF"/>
        </w:rPr>
        <w:t xml:space="preserve"> or els</w:t>
      </w:r>
      <w:r w:rsidR="00B10AFA">
        <w:rPr>
          <w:rFonts w:ascii="Times New Roman" w:hAnsi="Times New Roman"/>
          <w:color w:val="373739"/>
          <w:sz w:val="24"/>
          <w:szCs w:val="24"/>
          <w:shd w:val="clear" w:color="auto" w:fill="FFFFFF"/>
        </w:rPr>
        <w:t xml:space="preserve">e the filing is deemed approved </w:t>
      </w:r>
      <w:r w:rsidR="00E4323F" w:rsidRPr="00BF13D7">
        <w:rPr>
          <w:rFonts w:ascii="Times New Roman" w:hAnsi="Times New Roman"/>
          <w:color w:val="373739"/>
          <w:sz w:val="24"/>
          <w:szCs w:val="24"/>
          <w:shd w:val="clear" w:color="auto" w:fill="FFFFFF"/>
        </w:rPr>
        <w:t>by operation of law, except that</w:t>
      </w:r>
      <w:r w:rsidR="00EF5C67" w:rsidRPr="00BF13D7">
        <w:rPr>
          <w:rFonts w:ascii="Times New Roman" w:hAnsi="Times New Roman"/>
          <w:color w:val="373739"/>
          <w:sz w:val="24"/>
          <w:szCs w:val="24"/>
          <w:shd w:val="clear" w:color="auto" w:fill="FFFFFF"/>
        </w:rPr>
        <w:t xml:space="preserve"> </w:t>
      </w:r>
      <w:r w:rsidR="0053257A" w:rsidRPr="00BF13D7">
        <w:rPr>
          <w:rFonts w:ascii="Times New Roman" w:hAnsi="Times New Roman"/>
          <w:sz w:val="24"/>
          <w:szCs w:val="24"/>
        </w:rPr>
        <w:t xml:space="preserve">the Commission may rescind or revise the Procedural and Scheduling Order, dated September 21, 2017, in the event that the Company’s recommendation is to abandon the </w:t>
      </w:r>
      <w:r w:rsidR="00963E29">
        <w:rPr>
          <w:rFonts w:ascii="Times New Roman" w:hAnsi="Times New Roman"/>
          <w:sz w:val="24"/>
          <w:szCs w:val="24"/>
        </w:rPr>
        <w:t>Project</w:t>
      </w:r>
      <w:r w:rsidR="0053257A" w:rsidRPr="00BF13D7">
        <w:rPr>
          <w:rFonts w:ascii="Times New Roman" w:hAnsi="Times New Roman"/>
          <w:sz w:val="24"/>
          <w:szCs w:val="24"/>
        </w:rPr>
        <w:t xml:space="preserve"> for any reason.  </w:t>
      </w:r>
      <w:r w:rsidR="0053257A" w:rsidRPr="00BF13D7">
        <w:rPr>
          <w:rFonts w:ascii="Times New Roman" w:hAnsi="Times New Roman"/>
          <w:i/>
          <w:sz w:val="24"/>
          <w:szCs w:val="24"/>
        </w:rPr>
        <w:t>Id.</w:t>
      </w:r>
    </w:p>
    <w:p w:rsidR="009A1206" w:rsidRPr="00BF13D7" w:rsidRDefault="009A1206" w:rsidP="00BF13D7">
      <w:pPr>
        <w:spacing w:line="240" w:lineRule="auto"/>
        <w:jc w:val="both"/>
        <w:rPr>
          <w:rFonts w:ascii="Times New Roman" w:hAnsi="Times New Roman"/>
          <w:sz w:val="24"/>
          <w:szCs w:val="24"/>
        </w:rPr>
      </w:pPr>
      <w:r w:rsidRPr="00BF13D7">
        <w:rPr>
          <w:rFonts w:ascii="Times New Roman" w:hAnsi="Times New Roman"/>
          <w:sz w:val="24"/>
          <w:szCs w:val="24"/>
        </w:rPr>
        <w:t xml:space="preserve">4.  </w:t>
      </w:r>
      <w:r w:rsidR="0053257A" w:rsidRPr="00BF13D7">
        <w:rPr>
          <w:rFonts w:ascii="Times New Roman" w:hAnsi="Times New Roman"/>
          <w:color w:val="373739"/>
          <w:sz w:val="24"/>
          <w:szCs w:val="24"/>
          <w:shd w:val="clear" w:color="auto" w:fill="FFFFFF"/>
        </w:rPr>
        <w:t xml:space="preserve"> In the event that the Commission disappro</w:t>
      </w:r>
      <w:r w:rsidR="00C24ED6" w:rsidRPr="00BF13D7">
        <w:rPr>
          <w:rFonts w:ascii="Times New Roman" w:hAnsi="Times New Roman"/>
          <w:color w:val="373739"/>
          <w:sz w:val="24"/>
          <w:szCs w:val="24"/>
          <w:shd w:val="clear" w:color="auto" w:fill="FFFFFF"/>
        </w:rPr>
        <w:t>ves all or part of</w:t>
      </w:r>
      <w:r w:rsidR="0053257A" w:rsidRPr="00BF13D7">
        <w:rPr>
          <w:rFonts w:ascii="Times New Roman" w:hAnsi="Times New Roman"/>
          <w:color w:val="373739"/>
          <w:sz w:val="24"/>
          <w:szCs w:val="24"/>
          <w:shd w:val="clear" w:color="auto" w:fill="FFFFFF"/>
        </w:rPr>
        <w:t xml:space="preserve"> Georgia Power’s proposed revisions,</w:t>
      </w:r>
      <w:r w:rsidR="00833587" w:rsidRPr="00BF13D7">
        <w:rPr>
          <w:rFonts w:ascii="Times New Roman" w:hAnsi="Times New Roman"/>
          <w:color w:val="373739"/>
          <w:sz w:val="24"/>
          <w:szCs w:val="24"/>
          <w:shd w:val="clear" w:color="auto" w:fill="FFFFFF"/>
        </w:rPr>
        <w:t xml:space="preserve"> it is the decision of the Company as to whether</w:t>
      </w:r>
      <w:r w:rsidR="0053257A" w:rsidRPr="00BF13D7">
        <w:rPr>
          <w:rFonts w:ascii="Times New Roman" w:hAnsi="Times New Roman"/>
          <w:color w:val="373739"/>
          <w:sz w:val="24"/>
          <w:szCs w:val="24"/>
          <w:shd w:val="clear" w:color="auto" w:fill="FFFFFF"/>
        </w:rPr>
        <w:t xml:space="preserve"> to cancel the Project.  O.C.G.A. § 46-3A-7(d)</w:t>
      </w:r>
      <w:r w:rsidRPr="00BF13D7">
        <w:rPr>
          <w:rFonts w:ascii="Times New Roman" w:hAnsi="Times New Roman"/>
          <w:color w:val="373739"/>
          <w:sz w:val="24"/>
          <w:szCs w:val="24"/>
          <w:shd w:val="clear" w:color="auto" w:fill="FFFFFF"/>
        </w:rPr>
        <w:t xml:space="preserve">.  </w:t>
      </w:r>
      <w:r w:rsidRPr="00BF13D7">
        <w:rPr>
          <w:rFonts w:ascii="Times New Roman" w:hAnsi="Times New Roman"/>
          <w:sz w:val="24"/>
          <w:szCs w:val="24"/>
        </w:rPr>
        <w:t>If the Project is cancelled, the Commission will review the prudence and reasonableness of the actual costs incurred and determine the recovery of those actual costs in a subsequent proceeding established for that purpose.  Such a proceeding would consider what portion of the costs that have been incurred should be recovered from ratepayers.</w:t>
      </w:r>
    </w:p>
    <w:p w:rsidR="007F7E2B" w:rsidRPr="00BF13D7" w:rsidRDefault="006449D0" w:rsidP="00BF13D7">
      <w:pPr>
        <w:spacing w:line="240" w:lineRule="auto"/>
        <w:jc w:val="both"/>
        <w:rPr>
          <w:rFonts w:ascii="Times New Roman" w:hAnsi="Times New Roman"/>
          <w:sz w:val="24"/>
          <w:szCs w:val="24"/>
        </w:rPr>
      </w:pPr>
      <w:r w:rsidRPr="00BF13D7">
        <w:rPr>
          <w:rFonts w:ascii="Times New Roman" w:hAnsi="Times New Roman"/>
          <w:sz w:val="24"/>
          <w:szCs w:val="24"/>
        </w:rPr>
        <w:t>5</w:t>
      </w:r>
      <w:r w:rsidR="00170DB4" w:rsidRPr="00BF13D7">
        <w:rPr>
          <w:rFonts w:ascii="Times New Roman" w:hAnsi="Times New Roman"/>
          <w:sz w:val="24"/>
          <w:szCs w:val="24"/>
        </w:rPr>
        <w:t xml:space="preserve">.  Capital costs incurred up to $5.680 billion will be presumed to be reasonable and prudent. (January 3, 2017 Stipulation, Paragraph 4).  Interested parties still have the opportunity to rebut the presumption </w:t>
      </w:r>
      <w:r w:rsidR="009D5691" w:rsidRPr="00BF13D7">
        <w:rPr>
          <w:rFonts w:ascii="Times New Roman" w:hAnsi="Times New Roman"/>
          <w:sz w:val="24"/>
          <w:szCs w:val="24"/>
        </w:rPr>
        <w:t xml:space="preserve">that such capital costs are reasonable and prudent.  </w:t>
      </w:r>
      <w:r w:rsidR="00526A74" w:rsidRPr="00BF13D7">
        <w:rPr>
          <w:rFonts w:ascii="Times New Roman" w:hAnsi="Times New Roman"/>
          <w:sz w:val="24"/>
          <w:szCs w:val="24"/>
        </w:rPr>
        <w:t xml:space="preserve">The Company has the burden to show that costs above this amount are reasonable and prudent.  </w:t>
      </w:r>
      <w:r w:rsidR="00526A74" w:rsidRPr="00BF13D7">
        <w:rPr>
          <w:rFonts w:ascii="Times New Roman" w:hAnsi="Times New Roman"/>
          <w:i/>
          <w:sz w:val="24"/>
          <w:szCs w:val="24"/>
        </w:rPr>
        <w:t>Id.</w:t>
      </w:r>
    </w:p>
    <w:p w:rsidR="00E239CF" w:rsidRPr="00BF13D7" w:rsidRDefault="006449D0" w:rsidP="00BF13D7">
      <w:pPr>
        <w:spacing w:line="240" w:lineRule="auto"/>
        <w:jc w:val="both"/>
        <w:rPr>
          <w:rFonts w:ascii="Times New Roman" w:hAnsi="Times New Roman"/>
          <w:sz w:val="24"/>
          <w:szCs w:val="24"/>
        </w:rPr>
      </w:pPr>
      <w:r w:rsidRPr="00BF13D7">
        <w:rPr>
          <w:rFonts w:ascii="Times New Roman" w:hAnsi="Times New Roman"/>
          <w:sz w:val="24"/>
          <w:szCs w:val="24"/>
        </w:rPr>
        <w:t>6</w:t>
      </w:r>
      <w:r w:rsidR="00526A74" w:rsidRPr="00BF13D7">
        <w:rPr>
          <w:rFonts w:ascii="Times New Roman" w:hAnsi="Times New Roman"/>
          <w:sz w:val="24"/>
          <w:szCs w:val="24"/>
        </w:rPr>
        <w:t>.  The</w:t>
      </w:r>
      <w:r w:rsidR="008611D5" w:rsidRPr="00BF13D7">
        <w:rPr>
          <w:rFonts w:ascii="Times New Roman" w:hAnsi="Times New Roman"/>
          <w:sz w:val="24"/>
          <w:szCs w:val="24"/>
        </w:rPr>
        <w:t xml:space="preserve"> PIAS</w:t>
      </w:r>
      <w:r w:rsidR="00D94F51" w:rsidRPr="00BF13D7">
        <w:rPr>
          <w:rFonts w:ascii="Times New Roman" w:hAnsi="Times New Roman"/>
          <w:sz w:val="24"/>
          <w:szCs w:val="24"/>
        </w:rPr>
        <w:t xml:space="preserve"> does not need to address the prudency of costs above the certified amount until the completion of Plant Vogtle</w:t>
      </w:r>
      <w:r w:rsidR="001F5301" w:rsidRPr="00BF13D7">
        <w:rPr>
          <w:rFonts w:ascii="Times New Roman" w:hAnsi="Times New Roman"/>
          <w:sz w:val="24"/>
          <w:szCs w:val="24"/>
        </w:rPr>
        <w:t xml:space="preserve"> Unit 3</w:t>
      </w:r>
      <w:r w:rsidR="00D94F51" w:rsidRPr="00BF13D7">
        <w:rPr>
          <w:rFonts w:ascii="Times New Roman" w:hAnsi="Times New Roman"/>
          <w:sz w:val="24"/>
          <w:szCs w:val="24"/>
        </w:rPr>
        <w:t xml:space="preserve">. (August 30, 2013 Settlement, Paragraph 3). </w:t>
      </w:r>
    </w:p>
    <w:p w:rsidR="00DD3EC8" w:rsidRPr="00BF13D7" w:rsidRDefault="006449D0" w:rsidP="00BF13D7">
      <w:pPr>
        <w:shd w:val="clear" w:color="auto" w:fill="FFFFFF"/>
        <w:spacing w:after="0" w:line="240" w:lineRule="auto"/>
        <w:jc w:val="both"/>
        <w:textAlignment w:val="baseline"/>
        <w:outlineLvl w:val="0"/>
        <w:rPr>
          <w:rStyle w:val="ssit"/>
          <w:rFonts w:ascii="Times New Roman" w:hAnsi="Times New Roman"/>
          <w:iCs/>
          <w:color w:val="373739"/>
          <w:sz w:val="24"/>
          <w:szCs w:val="24"/>
          <w:bdr w:val="none" w:sz="0" w:space="0" w:color="auto" w:frame="1"/>
          <w:shd w:val="clear" w:color="auto" w:fill="FFFFFF"/>
        </w:rPr>
      </w:pPr>
      <w:r w:rsidRPr="00BF13D7">
        <w:rPr>
          <w:rFonts w:ascii="Times New Roman" w:hAnsi="Times New Roman"/>
          <w:sz w:val="24"/>
          <w:szCs w:val="24"/>
        </w:rPr>
        <w:t>7</w:t>
      </w:r>
      <w:r w:rsidR="00E239CF" w:rsidRPr="00BF13D7">
        <w:rPr>
          <w:rFonts w:ascii="Times New Roman" w:hAnsi="Times New Roman"/>
          <w:sz w:val="24"/>
          <w:szCs w:val="24"/>
        </w:rPr>
        <w:t>.  The Commission has identified as an issue to be determined as part of this proceeding whether it should verify and approve the expenditures made between January 1 and June 30, 2017.</w:t>
      </w:r>
      <w:r w:rsidR="00D94F51" w:rsidRPr="00BF13D7">
        <w:rPr>
          <w:rFonts w:ascii="Times New Roman" w:hAnsi="Times New Roman"/>
          <w:sz w:val="24"/>
          <w:szCs w:val="24"/>
        </w:rPr>
        <w:t xml:space="preserve"> </w:t>
      </w:r>
      <w:r w:rsidR="000E358B" w:rsidRPr="00BF13D7">
        <w:rPr>
          <w:rFonts w:ascii="Times New Roman" w:hAnsi="Times New Roman"/>
          <w:sz w:val="24"/>
          <w:szCs w:val="24"/>
        </w:rPr>
        <w:t xml:space="preserve"> Once costs are verified and approved, then they can only be excluded from rate base upon a finding of fraud, concealment, failure to disclose a material fact, imprudence or criminal misconduct.  Once verified and approved, costs cannot be excluded from rate base upon a finding that they are unreasonable.  O.C.G.A. § 46-3A-7(c).</w:t>
      </w:r>
      <w:r w:rsidR="000C4886" w:rsidRPr="00BF13D7">
        <w:rPr>
          <w:rFonts w:ascii="Times New Roman" w:hAnsi="Times New Roman"/>
          <w:sz w:val="24"/>
          <w:szCs w:val="24"/>
        </w:rPr>
        <w:t xml:space="preserve">  </w:t>
      </w:r>
      <w:r w:rsidR="00DD3EC8" w:rsidRPr="00BF13D7">
        <w:rPr>
          <w:rStyle w:val="ssit"/>
          <w:rFonts w:ascii="Times New Roman" w:hAnsi="Times New Roman"/>
          <w:iCs/>
          <w:color w:val="373739"/>
          <w:sz w:val="24"/>
          <w:szCs w:val="24"/>
          <w:bdr w:val="none" w:sz="0" w:space="0" w:color="auto" w:frame="1"/>
          <w:shd w:val="clear" w:color="auto" w:fill="FFFFFF"/>
        </w:rPr>
        <w:t xml:space="preserve">Based on the foregoing, the Commission concludes as a matter of law that $44 million of the costs expended by the Company during the period January 1, 2017 to June 30, 2017 should be </w:t>
      </w:r>
      <w:r w:rsidR="00DD3EC8" w:rsidRPr="00BF13D7">
        <w:rPr>
          <w:rFonts w:ascii="Times New Roman" w:hAnsi="Times New Roman"/>
          <w:sz w:val="24"/>
          <w:szCs w:val="24"/>
        </w:rPr>
        <w:t>verified and approved</w:t>
      </w:r>
      <w:r w:rsidR="00DD3EC8" w:rsidRPr="00BF13D7">
        <w:rPr>
          <w:rStyle w:val="ssit"/>
          <w:rFonts w:ascii="Times New Roman" w:hAnsi="Times New Roman"/>
          <w:iCs/>
          <w:color w:val="373739"/>
          <w:sz w:val="24"/>
          <w:szCs w:val="24"/>
          <w:bdr w:val="none" w:sz="0" w:space="0" w:color="auto" w:frame="1"/>
          <w:shd w:val="clear" w:color="auto" w:fill="FFFFFF"/>
        </w:rPr>
        <w:t xml:space="preserve">. </w:t>
      </w:r>
      <w:r w:rsidR="00DD3EC8" w:rsidRPr="00BF13D7">
        <w:rPr>
          <w:rFonts w:ascii="Times New Roman" w:hAnsi="Times New Roman"/>
          <w:sz w:val="24"/>
          <w:szCs w:val="24"/>
        </w:rPr>
        <w:t>Verification and approval of costs means a determination that such costs have actually been spent on the Project and does not preclude a subsequent disallowance by this Commission.</w:t>
      </w:r>
    </w:p>
    <w:p w:rsidR="00170DB4" w:rsidRPr="00BF13D7" w:rsidRDefault="00170DB4" w:rsidP="00BF13D7">
      <w:pPr>
        <w:spacing w:line="240" w:lineRule="auto"/>
        <w:jc w:val="both"/>
        <w:rPr>
          <w:rFonts w:ascii="Times New Roman" w:hAnsi="Times New Roman"/>
          <w:sz w:val="24"/>
          <w:szCs w:val="24"/>
        </w:rPr>
      </w:pPr>
    </w:p>
    <w:p w:rsidR="00833587" w:rsidRPr="00BF13D7" w:rsidRDefault="006449D0" w:rsidP="00BF13D7">
      <w:pPr>
        <w:spacing w:line="240" w:lineRule="auto"/>
        <w:jc w:val="both"/>
        <w:rPr>
          <w:rFonts w:ascii="Times New Roman" w:hAnsi="Times New Roman"/>
          <w:sz w:val="24"/>
          <w:szCs w:val="24"/>
        </w:rPr>
      </w:pPr>
      <w:r w:rsidRPr="00BF13D7">
        <w:rPr>
          <w:rFonts w:ascii="Times New Roman" w:hAnsi="Times New Roman"/>
          <w:sz w:val="24"/>
          <w:szCs w:val="24"/>
        </w:rPr>
        <w:t>8</w:t>
      </w:r>
      <w:r w:rsidR="00833587" w:rsidRPr="00BF13D7">
        <w:rPr>
          <w:rFonts w:ascii="Times New Roman" w:hAnsi="Times New Roman"/>
          <w:sz w:val="24"/>
          <w:szCs w:val="24"/>
        </w:rPr>
        <w:t>.  The Company has not</w:t>
      </w:r>
      <w:r w:rsidR="006D272F" w:rsidRPr="00BF13D7">
        <w:rPr>
          <w:rFonts w:ascii="Times New Roman" w:hAnsi="Times New Roman"/>
          <w:sz w:val="24"/>
          <w:szCs w:val="24"/>
        </w:rPr>
        <w:t xml:space="preserve"> met its burden to show</w:t>
      </w:r>
      <w:r w:rsidR="00833587" w:rsidRPr="00BF13D7">
        <w:rPr>
          <w:rFonts w:ascii="Times New Roman" w:hAnsi="Times New Roman"/>
          <w:sz w:val="24"/>
          <w:szCs w:val="24"/>
        </w:rPr>
        <w:t xml:space="preserve"> its proposed revisions to the costs and schedules are reasonable both because the Project is not economic under a forward looking analysis, and because it is not reasonable to recover from ratepayers excessive costs over which the utility had</w:t>
      </w:r>
      <w:r w:rsidR="007F4FFE" w:rsidRPr="00BF13D7">
        <w:rPr>
          <w:rFonts w:ascii="Times New Roman" w:hAnsi="Times New Roman"/>
          <w:sz w:val="24"/>
          <w:szCs w:val="24"/>
        </w:rPr>
        <w:t xml:space="preserve"> more</w:t>
      </w:r>
      <w:r w:rsidR="00833587" w:rsidRPr="00BF13D7">
        <w:rPr>
          <w:rFonts w:ascii="Times New Roman" w:hAnsi="Times New Roman"/>
          <w:sz w:val="24"/>
          <w:szCs w:val="24"/>
        </w:rPr>
        <w:t xml:space="preserve"> control. </w:t>
      </w:r>
    </w:p>
    <w:p w:rsidR="006D272F" w:rsidRPr="00BF13D7" w:rsidRDefault="006449D0" w:rsidP="00BF13D7">
      <w:pPr>
        <w:widowControl w:val="0"/>
        <w:spacing w:after="240" w:line="240" w:lineRule="auto"/>
        <w:jc w:val="both"/>
        <w:rPr>
          <w:rFonts w:ascii="Times New Roman" w:hAnsi="Times New Roman"/>
          <w:sz w:val="24"/>
          <w:szCs w:val="24"/>
        </w:rPr>
      </w:pPr>
      <w:r w:rsidRPr="00BF13D7">
        <w:rPr>
          <w:rFonts w:ascii="Times New Roman" w:hAnsi="Times New Roman"/>
          <w:sz w:val="24"/>
          <w:szCs w:val="24"/>
        </w:rPr>
        <w:t>9</w:t>
      </w:r>
      <w:r w:rsidR="00833587" w:rsidRPr="00BF13D7">
        <w:rPr>
          <w:rFonts w:ascii="Times New Roman" w:hAnsi="Times New Roman"/>
          <w:sz w:val="24"/>
          <w:szCs w:val="24"/>
        </w:rPr>
        <w:t>.</w:t>
      </w:r>
      <w:r w:rsidR="00833587" w:rsidRPr="00BF13D7">
        <w:rPr>
          <w:rFonts w:ascii="Times New Roman" w:hAnsi="Times New Roman"/>
          <w:sz w:val="24"/>
          <w:szCs w:val="24"/>
        </w:rPr>
        <w:tab/>
        <w:t>Based on the finding of fact that the Project is not economical above $</w:t>
      </w:r>
      <w:r w:rsidR="00264207">
        <w:rPr>
          <w:rFonts w:ascii="Times New Roman" w:hAnsi="Times New Roman"/>
          <w:sz w:val="24"/>
          <w:szCs w:val="24"/>
        </w:rPr>
        <w:t>9.0</w:t>
      </w:r>
      <w:r w:rsidR="00833587" w:rsidRPr="00BF13D7">
        <w:rPr>
          <w:rFonts w:ascii="Times New Roman" w:hAnsi="Times New Roman"/>
          <w:sz w:val="24"/>
          <w:szCs w:val="24"/>
        </w:rPr>
        <w:t xml:space="preserve"> billion, the Commission concludes as a matter of law that it would be unreasonable to approve the Company’s proposed cost and schedule revisions above </w:t>
      </w:r>
      <w:r w:rsidR="00264207">
        <w:rPr>
          <w:rFonts w:ascii="Times New Roman" w:hAnsi="Times New Roman"/>
          <w:sz w:val="24"/>
          <w:szCs w:val="24"/>
        </w:rPr>
        <w:t>that do</w:t>
      </w:r>
      <w:r w:rsidR="00833587" w:rsidRPr="00BF13D7">
        <w:rPr>
          <w:rFonts w:ascii="Times New Roman" w:hAnsi="Times New Roman"/>
          <w:sz w:val="24"/>
          <w:szCs w:val="24"/>
        </w:rPr>
        <w:t xml:space="preserve">llar amount.  The PIAS analysis shows that the Project is uneconomical by $1.6 billion assuming the PTCs are not extended, and by $0.7 billion if the PTCs are extended.  So, even if the PTCs are extended, the Project is uneconomical, assuming the Company’s proposed revisions are adopted.  The IRP Act provides for the certification of resources that can meet the need on the utility’s system in an “economical and reliable manner.”  O.C.G.A. § 46-3A-4(a).  Although it is reasonable for the Commission to consider fuel diversity as a benefit to consumers, the Company has not quantified this benefit, and there is no basis in the record to conclude that the benefits of fuel diversity is substantial enough to account for the difference between the cost of the Project and the cost of the least cost alternative.  </w:t>
      </w:r>
      <w:r w:rsidRPr="00BF13D7">
        <w:rPr>
          <w:rFonts w:ascii="Times New Roman" w:hAnsi="Times New Roman"/>
          <w:sz w:val="24"/>
          <w:szCs w:val="24"/>
        </w:rPr>
        <w:t>T</w:t>
      </w:r>
      <w:r w:rsidR="006D272F" w:rsidRPr="00BF13D7">
        <w:rPr>
          <w:rFonts w:ascii="Times New Roman" w:hAnsi="Times New Roman"/>
          <w:sz w:val="24"/>
          <w:szCs w:val="24"/>
        </w:rPr>
        <w:t xml:space="preserve">he Commission will </w:t>
      </w:r>
      <w:r w:rsidR="00EF5C67" w:rsidRPr="00BF13D7">
        <w:rPr>
          <w:rFonts w:ascii="Times New Roman" w:hAnsi="Times New Roman"/>
          <w:sz w:val="24"/>
          <w:szCs w:val="24"/>
        </w:rPr>
        <w:t>ensure that Project completion is economic compared to cancellatio</w:t>
      </w:r>
      <w:r w:rsidR="006D272F" w:rsidRPr="00BF13D7">
        <w:rPr>
          <w:rFonts w:ascii="Times New Roman" w:hAnsi="Times New Roman"/>
          <w:sz w:val="24"/>
          <w:szCs w:val="24"/>
        </w:rPr>
        <w:t xml:space="preserve">n, will </w:t>
      </w:r>
      <w:r w:rsidR="00EF5C67" w:rsidRPr="00BF13D7">
        <w:rPr>
          <w:rFonts w:ascii="Times New Roman" w:hAnsi="Times New Roman"/>
          <w:sz w:val="24"/>
          <w:szCs w:val="24"/>
        </w:rPr>
        <w:t>provide an appropriate allocation of risks and costs between the Company and its customers, and will ensure that costs identified as unreasonable by PIAS in this proceeding will be born</w:t>
      </w:r>
      <w:r w:rsidRPr="00BF13D7">
        <w:rPr>
          <w:rFonts w:ascii="Times New Roman" w:hAnsi="Times New Roman"/>
          <w:sz w:val="24"/>
          <w:szCs w:val="24"/>
        </w:rPr>
        <w:t>e</w:t>
      </w:r>
      <w:r w:rsidR="00EF5C67" w:rsidRPr="00BF13D7">
        <w:rPr>
          <w:rFonts w:ascii="Times New Roman" w:hAnsi="Times New Roman"/>
          <w:sz w:val="24"/>
          <w:szCs w:val="24"/>
        </w:rPr>
        <w:t xml:space="preserve"> by stockholders, </w:t>
      </w:r>
      <w:r w:rsidRPr="00BF13D7">
        <w:rPr>
          <w:rFonts w:ascii="Times New Roman" w:hAnsi="Times New Roman"/>
          <w:sz w:val="24"/>
          <w:szCs w:val="24"/>
        </w:rPr>
        <w:t>and not</w:t>
      </w:r>
      <w:r w:rsidR="00EF5C67" w:rsidRPr="00BF13D7">
        <w:rPr>
          <w:rFonts w:ascii="Times New Roman" w:hAnsi="Times New Roman"/>
          <w:sz w:val="24"/>
          <w:szCs w:val="24"/>
        </w:rPr>
        <w:t xml:space="preserve"> ratepayers. </w:t>
      </w:r>
    </w:p>
    <w:p w:rsidR="00833587" w:rsidRPr="00BF13D7" w:rsidRDefault="00C24ED6" w:rsidP="00BF13D7">
      <w:pPr>
        <w:spacing w:line="240" w:lineRule="auto"/>
        <w:jc w:val="both"/>
        <w:rPr>
          <w:rFonts w:ascii="Times New Roman" w:hAnsi="Times New Roman"/>
          <w:sz w:val="24"/>
          <w:szCs w:val="24"/>
        </w:rPr>
      </w:pPr>
      <w:r w:rsidRPr="00BF13D7">
        <w:rPr>
          <w:rFonts w:ascii="Times New Roman" w:hAnsi="Times New Roman"/>
          <w:sz w:val="24"/>
          <w:szCs w:val="24"/>
        </w:rPr>
        <w:t>1</w:t>
      </w:r>
      <w:r w:rsidR="006449D0" w:rsidRPr="00BF13D7">
        <w:rPr>
          <w:rFonts w:ascii="Times New Roman" w:hAnsi="Times New Roman"/>
          <w:sz w:val="24"/>
          <w:szCs w:val="24"/>
        </w:rPr>
        <w:t>0</w:t>
      </w:r>
      <w:r w:rsidRPr="00BF13D7">
        <w:rPr>
          <w:rFonts w:ascii="Times New Roman" w:hAnsi="Times New Roman"/>
          <w:sz w:val="24"/>
          <w:szCs w:val="24"/>
        </w:rPr>
        <w:t xml:space="preserve">. Consistent with Staff testimony, </w:t>
      </w:r>
      <w:r w:rsidR="00EF5C67" w:rsidRPr="00BF13D7">
        <w:rPr>
          <w:rFonts w:ascii="Times New Roman" w:hAnsi="Times New Roman"/>
          <w:sz w:val="24"/>
          <w:szCs w:val="24"/>
        </w:rPr>
        <w:t>the Commission decline</w:t>
      </w:r>
      <w:r w:rsidRPr="00BF13D7">
        <w:rPr>
          <w:rFonts w:ascii="Times New Roman" w:hAnsi="Times New Roman"/>
          <w:sz w:val="24"/>
          <w:szCs w:val="24"/>
        </w:rPr>
        <w:t>s</w:t>
      </w:r>
      <w:r w:rsidR="00EF5C67" w:rsidRPr="00BF13D7">
        <w:rPr>
          <w:rFonts w:ascii="Times New Roman" w:hAnsi="Times New Roman"/>
          <w:sz w:val="24"/>
          <w:szCs w:val="24"/>
        </w:rPr>
        <w:t xml:space="preserve"> to adopt the Company’s proposed condition that the Project capital costs not be reduced in a future rate proceeding if the Project does not qualify for the Production Tax Credits (“PTCs”).  Instead, the Commission adopt</w:t>
      </w:r>
      <w:r w:rsidRPr="00BF13D7">
        <w:rPr>
          <w:rFonts w:ascii="Times New Roman" w:hAnsi="Times New Roman"/>
          <w:sz w:val="24"/>
          <w:szCs w:val="24"/>
        </w:rPr>
        <w:t>s</w:t>
      </w:r>
      <w:r w:rsidR="00EF5C67" w:rsidRPr="00BF13D7">
        <w:rPr>
          <w:rFonts w:ascii="Times New Roman" w:hAnsi="Times New Roman"/>
          <w:sz w:val="24"/>
          <w:szCs w:val="24"/>
        </w:rPr>
        <w:t xml:space="preserve"> a condition that because of the Company’s repeated schedule delays, the failure to receive the PTCs, unless extended by Congress, will be reviewed in a future post-construction prudence and reasonableness review of the Company’s actual decisions, actions, and inactions, and the actual costs that were incurred.  </w:t>
      </w:r>
      <w:r w:rsidRPr="00BF13D7">
        <w:rPr>
          <w:rFonts w:ascii="Times New Roman" w:hAnsi="Times New Roman"/>
          <w:sz w:val="24"/>
          <w:szCs w:val="24"/>
        </w:rPr>
        <w:t>T</w:t>
      </w:r>
      <w:r w:rsidR="00EF5C67" w:rsidRPr="00BF13D7">
        <w:rPr>
          <w:rFonts w:ascii="Times New Roman" w:hAnsi="Times New Roman"/>
          <w:sz w:val="24"/>
          <w:szCs w:val="24"/>
        </w:rPr>
        <w:t xml:space="preserve">he Commission </w:t>
      </w:r>
      <w:r w:rsidRPr="00BF13D7">
        <w:rPr>
          <w:rFonts w:ascii="Times New Roman" w:hAnsi="Times New Roman"/>
          <w:sz w:val="24"/>
          <w:szCs w:val="24"/>
        </w:rPr>
        <w:t xml:space="preserve">will </w:t>
      </w:r>
      <w:r w:rsidR="00EF5C67" w:rsidRPr="00BF13D7">
        <w:rPr>
          <w:rFonts w:ascii="Times New Roman" w:hAnsi="Times New Roman"/>
          <w:sz w:val="24"/>
          <w:szCs w:val="24"/>
        </w:rPr>
        <w:t xml:space="preserve">consider </w:t>
      </w:r>
      <w:r w:rsidRPr="00BF13D7">
        <w:rPr>
          <w:rFonts w:ascii="Times New Roman" w:hAnsi="Times New Roman"/>
          <w:sz w:val="24"/>
          <w:szCs w:val="24"/>
        </w:rPr>
        <w:t xml:space="preserve">as part of </w:t>
      </w:r>
      <w:r w:rsidR="00EF5C67" w:rsidRPr="00BF13D7">
        <w:rPr>
          <w:rFonts w:ascii="Times New Roman" w:hAnsi="Times New Roman"/>
          <w:sz w:val="24"/>
          <w:szCs w:val="24"/>
        </w:rPr>
        <w:t>that review the fact that the Company is no longer eligible for 50% or any other amount of bonus tax depreciation because of the repeated schedule delays.</w:t>
      </w:r>
    </w:p>
    <w:p w:rsidR="007F7E2B" w:rsidRPr="00BF13D7" w:rsidRDefault="006449D0" w:rsidP="00BF13D7">
      <w:pPr>
        <w:spacing w:line="240" w:lineRule="auto"/>
        <w:jc w:val="both"/>
        <w:rPr>
          <w:rFonts w:ascii="Times New Roman" w:hAnsi="Times New Roman"/>
          <w:sz w:val="24"/>
          <w:szCs w:val="24"/>
        </w:rPr>
      </w:pPr>
      <w:r w:rsidRPr="00BF13D7">
        <w:rPr>
          <w:rFonts w:ascii="Times New Roman" w:hAnsi="Times New Roman"/>
          <w:sz w:val="24"/>
          <w:szCs w:val="24"/>
        </w:rPr>
        <w:t>11</w:t>
      </w:r>
      <w:r w:rsidR="007F7E2B" w:rsidRPr="00BF13D7">
        <w:rPr>
          <w:rFonts w:ascii="Times New Roman" w:hAnsi="Times New Roman"/>
          <w:sz w:val="24"/>
          <w:szCs w:val="24"/>
        </w:rPr>
        <w:t xml:space="preserve">.  </w:t>
      </w:r>
      <w:r w:rsidR="00D43623" w:rsidRPr="00BF13D7">
        <w:rPr>
          <w:rFonts w:ascii="Times New Roman" w:hAnsi="Times New Roman"/>
          <w:sz w:val="24"/>
          <w:szCs w:val="24"/>
        </w:rPr>
        <w:t>The Company h</w:t>
      </w:r>
      <w:r w:rsidR="007F7E2B" w:rsidRPr="00BF13D7">
        <w:rPr>
          <w:rFonts w:ascii="Times New Roman" w:hAnsi="Times New Roman"/>
          <w:sz w:val="24"/>
          <w:szCs w:val="24"/>
        </w:rPr>
        <w:t xml:space="preserve">as included a contingency amount to complete the Project of $1.159 billion.  </w:t>
      </w:r>
      <w:r w:rsidR="00D43623" w:rsidRPr="00BF13D7">
        <w:rPr>
          <w:rFonts w:ascii="Times New Roman" w:hAnsi="Times New Roman"/>
          <w:sz w:val="24"/>
          <w:szCs w:val="24"/>
        </w:rPr>
        <w:t>By the nature of the contingency, the Company did not provide support for what purpose the contingency would be used.  Therefore, the Commission cannot determine the legitimacy of the expense that the contingency may or may not be used to cover. Georgia Power cannot meet its burden of proof to demonstrate that the contingency is reasonable to recover from ratepayers when it has not been stated what the contingency will cover.  Because the Commission finds that it is possible that this expense may be shown to be reasonable at some future date, the Commission is not approving or disapproving these expenses, and instead, will modify the Company’s proposed revisions to not include the contingency at this time.</w:t>
      </w:r>
    </w:p>
    <w:p w:rsidR="00864F36" w:rsidRPr="00BF13D7" w:rsidRDefault="00581CAE" w:rsidP="00BF13D7">
      <w:pPr>
        <w:spacing w:line="240" w:lineRule="auto"/>
        <w:jc w:val="both"/>
        <w:rPr>
          <w:rFonts w:ascii="Times New Roman" w:hAnsi="Times New Roman"/>
          <w:sz w:val="24"/>
          <w:szCs w:val="24"/>
        </w:rPr>
      </w:pPr>
      <w:r w:rsidRPr="00BF13D7">
        <w:rPr>
          <w:rFonts w:ascii="Times New Roman" w:hAnsi="Times New Roman"/>
          <w:sz w:val="24"/>
          <w:szCs w:val="24"/>
        </w:rPr>
        <w:t>12</w:t>
      </w:r>
      <w:r w:rsidR="000C4886" w:rsidRPr="00BF13D7">
        <w:rPr>
          <w:rFonts w:ascii="Times New Roman" w:hAnsi="Times New Roman"/>
          <w:sz w:val="24"/>
          <w:szCs w:val="24"/>
        </w:rPr>
        <w:t xml:space="preserve">.  </w:t>
      </w:r>
      <w:r w:rsidR="00864F36" w:rsidRPr="00BF13D7">
        <w:rPr>
          <w:rFonts w:ascii="Times New Roman" w:hAnsi="Times New Roman"/>
          <w:sz w:val="24"/>
          <w:szCs w:val="24"/>
        </w:rPr>
        <w:t>The Georgia Court of Appeals held:</w:t>
      </w:r>
    </w:p>
    <w:p w:rsidR="000C4886" w:rsidRPr="00BF13D7" w:rsidRDefault="00864F36" w:rsidP="00BF13D7">
      <w:pPr>
        <w:spacing w:line="240" w:lineRule="auto"/>
        <w:ind w:left="720" w:right="720"/>
        <w:jc w:val="both"/>
        <w:rPr>
          <w:rFonts w:ascii="Times New Roman" w:hAnsi="Times New Roman"/>
          <w:sz w:val="24"/>
          <w:szCs w:val="24"/>
        </w:rPr>
      </w:pPr>
      <w:r w:rsidRPr="00BF13D7">
        <w:rPr>
          <w:rFonts w:ascii="Times New Roman" w:hAnsi="Times New Roman"/>
          <w:color w:val="373739"/>
          <w:sz w:val="24"/>
          <w:szCs w:val="24"/>
          <w:shd w:val="clear" w:color="auto" w:fill="FFFFFF"/>
        </w:rPr>
        <w:t>The purpose and nature of rate making . . . is not to resolve fault or damages in the same sense that these issues are determined and litigated in contract and negligence disputes between owners, contractors, subcontractors and suppliers. Instead, it is to set a fair and reasonable rate for both the ratepayer and the utility. </w:t>
      </w:r>
    </w:p>
    <w:p w:rsidR="00864F36" w:rsidRPr="00BF13D7" w:rsidRDefault="00864F36" w:rsidP="00BF13D7">
      <w:pPr>
        <w:shd w:val="clear" w:color="auto" w:fill="FFFFFF"/>
        <w:spacing w:after="0" w:line="240" w:lineRule="auto"/>
        <w:jc w:val="both"/>
        <w:textAlignment w:val="baseline"/>
        <w:outlineLvl w:val="0"/>
        <w:rPr>
          <w:rFonts w:ascii="Times New Roman" w:eastAsia="Times New Roman" w:hAnsi="Times New Roman"/>
          <w:bCs/>
          <w:color w:val="373739"/>
          <w:kern w:val="36"/>
          <w:sz w:val="24"/>
          <w:szCs w:val="24"/>
          <w:bdr w:val="none" w:sz="0" w:space="0" w:color="auto" w:frame="1"/>
        </w:rPr>
      </w:pPr>
      <w:r w:rsidRPr="00BF13D7">
        <w:rPr>
          <w:rFonts w:ascii="Times New Roman" w:eastAsia="Times New Roman" w:hAnsi="Times New Roman"/>
          <w:bCs/>
          <w:i/>
          <w:color w:val="373739"/>
          <w:kern w:val="36"/>
          <w:sz w:val="24"/>
          <w:szCs w:val="24"/>
        </w:rPr>
        <w:t>Ga. Power Co. v. Ga. Public Serv. Com</w:t>
      </w:r>
      <w:r w:rsidRPr="00BF13D7">
        <w:rPr>
          <w:rFonts w:ascii="Times New Roman" w:eastAsia="Times New Roman" w:hAnsi="Times New Roman"/>
          <w:bCs/>
          <w:color w:val="373739"/>
          <w:kern w:val="36"/>
          <w:sz w:val="24"/>
          <w:szCs w:val="24"/>
          <w:bdr w:val="none" w:sz="0" w:space="0" w:color="auto" w:frame="1"/>
        </w:rPr>
        <w:t>, 196 Ga. App. 572, 584 (1990).</w:t>
      </w:r>
    </w:p>
    <w:p w:rsidR="001F5301" w:rsidRPr="00BF13D7" w:rsidRDefault="001F5301" w:rsidP="00BF13D7">
      <w:pPr>
        <w:shd w:val="clear" w:color="auto" w:fill="FFFFFF"/>
        <w:spacing w:after="0" w:line="240" w:lineRule="auto"/>
        <w:jc w:val="both"/>
        <w:textAlignment w:val="baseline"/>
        <w:outlineLvl w:val="0"/>
        <w:rPr>
          <w:rFonts w:ascii="Times New Roman" w:eastAsia="Times New Roman" w:hAnsi="Times New Roman"/>
          <w:bCs/>
          <w:color w:val="373739"/>
          <w:kern w:val="36"/>
          <w:sz w:val="24"/>
          <w:szCs w:val="24"/>
          <w:bdr w:val="none" w:sz="0" w:space="0" w:color="auto" w:frame="1"/>
        </w:rPr>
      </w:pPr>
    </w:p>
    <w:p w:rsidR="009562C7" w:rsidRPr="00BF13D7" w:rsidRDefault="001F5301" w:rsidP="00BF13D7">
      <w:pPr>
        <w:spacing w:line="240" w:lineRule="auto"/>
        <w:ind w:firstLine="720"/>
        <w:jc w:val="both"/>
        <w:rPr>
          <w:rStyle w:val="ssit"/>
          <w:rFonts w:ascii="Times New Roman" w:hAnsi="Times New Roman"/>
          <w:iCs/>
          <w:color w:val="373739"/>
          <w:sz w:val="24"/>
          <w:szCs w:val="24"/>
          <w:bdr w:val="none" w:sz="0" w:space="0" w:color="auto" w:frame="1"/>
          <w:shd w:val="clear" w:color="auto" w:fill="FFFFFF"/>
        </w:rPr>
      </w:pPr>
      <w:r w:rsidRPr="00BF13D7">
        <w:rPr>
          <w:rFonts w:ascii="Times New Roman" w:eastAsia="Times New Roman" w:hAnsi="Times New Roman"/>
          <w:bCs/>
          <w:color w:val="373739"/>
          <w:kern w:val="36"/>
          <w:sz w:val="24"/>
          <w:szCs w:val="24"/>
          <w:bdr w:val="none" w:sz="0" w:space="0" w:color="auto" w:frame="1"/>
        </w:rPr>
        <w:t>In this same deci</w:t>
      </w:r>
      <w:r w:rsidR="009D262E" w:rsidRPr="00BF13D7">
        <w:rPr>
          <w:rFonts w:ascii="Times New Roman" w:eastAsia="Times New Roman" w:hAnsi="Times New Roman"/>
          <w:bCs/>
          <w:color w:val="373739"/>
          <w:kern w:val="36"/>
          <w:sz w:val="24"/>
          <w:szCs w:val="24"/>
          <w:bdr w:val="none" w:sz="0" w:space="0" w:color="auto" w:frame="1"/>
        </w:rPr>
        <w:t>sion, the Court of Appeals explained that, in the underlying administrative proceeding, the Commission “</w:t>
      </w:r>
      <w:r w:rsidRPr="00BF13D7">
        <w:rPr>
          <w:rFonts w:ascii="Times New Roman" w:hAnsi="Times New Roman"/>
          <w:color w:val="373739"/>
          <w:sz w:val="24"/>
          <w:szCs w:val="24"/>
          <w:shd w:val="clear" w:color="auto" w:fill="FFFFFF"/>
        </w:rPr>
        <w:t>noted that excessive or unreasonable costs could result from a decision that was prudent when made, but that "[t]he determinative issue is not whether the decision to incur the costs was prudent, but </w:t>
      </w:r>
      <w:r w:rsidRPr="00BF13D7">
        <w:rPr>
          <w:rStyle w:val="ssit"/>
          <w:rFonts w:ascii="Times New Roman" w:hAnsi="Times New Roman"/>
          <w:i/>
          <w:iCs/>
          <w:color w:val="373739"/>
          <w:sz w:val="24"/>
          <w:szCs w:val="24"/>
          <w:bdr w:val="none" w:sz="0" w:space="0" w:color="auto" w:frame="1"/>
          <w:shd w:val="clear" w:color="auto" w:fill="FFFFFF"/>
        </w:rPr>
        <w:t>who should bear such costs.”</w:t>
      </w:r>
      <w:r w:rsidR="009D262E" w:rsidRPr="00BF13D7">
        <w:rPr>
          <w:rStyle w:val="ssit"/>
          <w:rFonts w:ascii="Times New Roman" w:hAnsi="Times New Roman"/>
          <w:i/>
          <w:iCs/>
          <w:color w:val="373739"/>
          <w:sz w:val="24"/>
          <w:szCs w:val="24"/>
          <w:bdr w:val="none" w:sz="0" w:space="0" w:color="auto" w:frame="1"/>
          <w:shd w:val="clear" w:color="auto" w:fill="FFFFFF"/>
        </w:rPr>
        <w:t xml:space="preserve"> Id. </w:t>
      </w:r>
      <w:r w:rsidR="009D262E" w:rsidRPr="00BF13D7">
        <w:rPr>
          <w:rStyle w:val="ssit"/>
          <w:rFonts w:ascii="Times New Roman" w:hAnsi="Times New Roman"/>
          <w:iCs/>
          <w:color w:val="373739"/>
          <w:sz w:val="24"/>
          <w:szCs w:val="24"/>
          <w:bdr w:val="none" w:sz="0" w:space="0" w:color="auto" w:frame="1"/>
          <w:shd w:val="clear" w:color="auto" w:fill="FFFFFF"/>
        </w:rPr>
        <w:t xml:space="preserve">at 578 (emphasis in original) (footnotes excluded).  In examining the costs that were excluded, the Commission reasoned that it was appropriate to allocate the costs to the Company, as opposed to the ratepayer, because the expense in question was more in the control of Georgia Power’s management.  </w:t>
      </w:r>
      <w:r w:rsidR="009D262E" w:rsidRPr="00BF13D7">
        <w:rPr>
          <w:rStyle w:val="ssit"/>
          <w:rFonts w:ascii="Times New Roman" w:hAnsi="Times New Roman"/>
          <w:i/>
          <w:iCs/>
          <w:color w:val="373739"/>
          <w:sz w:val="24"/>
          <w:szCs w:val="24"/>
          <w:bdr w:val="none" w:sz="0" w:space="0" w:color="auto" w:frame="1"/>
          <w:shd w:val="clear" w:color="auto" w:fill="FFFFFF"/>
        </w:rPr>
        <w:t xml:space="preserve">Id. </w:t>
      </w:r>
      <w:r w:rsidR="009D262E" w:rsidRPr="00BF13D7">
        <w:rPr>
          <w:rStyle w:val="ssit"/>
          <w:rFonts w:ascii="Times New Roman" w:hAnsi="Times New Roman"/>
          <w:iCs/>
          <w:color w:val="373739"/>
          <w:sz w:val="24"/>
          <w:szCs w:val="24"/>
          <w:bdr w:val="none" w:sz="0" w:space="0" w:color="auto" w:frame="1"/>
          <w:shd w:val="clear" w:color="auto" w:fill="FFFFFF"/>
        </w:rPr>
        <w:t>at 579.</w:t>
      </w:r>
      <w:r w:rsidR="00D11DDF" w:rsidRPr="00BF13D7">
        <w:rPr>
          <w:rStyle w:val="ssit"/>
          <w:rFonts w:ascii="Times New Roman" w:hAnsi="Times New Roman"/>
          <w:iCs/>
          <w:color w:val="373739"/>
          <w:sz w:val="24"/>
          <w:szCs w:val="24"/>
          <w:bdr w:val="none" w:sz="0" w:space="0" w:color="auto" w:frame="1"/>
          <w:shd w:val="clear" w:color="auto" w:fill="FFFFFF"/>
        </w:rPr>
        <w:t xml:space="preserve">  Although the Integrated Resource Planning </w:t>
      </w:r>
      <w:r w:rsidR="00392C34" w:rsidRPr="00BF13D7">
        <w:rPr>
          <w:rStyle w:val="ssit"/>
          <w:rFonts w:ascii="Times New Roman" w:hAnsi="Times New Roman"/>
          <w:iCs/>
          <w:color w:val="373739"/>
          <w:sz w:val="24"/>
          <w:szCs w:val="24"/>
          <w:bdr w:val="none" w:sz="0" w:space="0" w:color="auto" w:frame="1"/>
          <w:shd w:val="clear" w:color="auto" w:fill="FFFFFF"/>
        </w:rPr>
        <w:t xml:space="preserve">(“IRP”) </w:t>
      </w:r>
      <w:r w:rsidR="00D11DDF" w:rsidRPr="00BF13D7">
        <w:rPr>
          <w:rStyle w:val="ssit"/>
          <w:rFonts w:ascii="Times New Roman" w:hAnsi="Times New Roman"/>
          <w:iCs/>
          <w:color w:val="373739"/>
          <w:sz w:val="24"/>
          <w:szCs w:val="24"/>
          <w:bdr w:val="none" w:sz="0" w:space="0" w:color="auto" w:frame="1"/>
          <w:shd w:val="clear" w:color="auto" w:fill="FFFFFF"/>
        </w:rPr>
        <w:t>statute was enacted after t</w:t>
      </w:r>
      <w:r w:rsidR="008942DD" w:rsidRPr="00BF13D7">
        <w:rPr>
          <w:rStyle w:val="ssit"/>
          <w:rFonts w:ascii="Times New Roman" w:hAnsi="Times New Roman"/>
          <w:iCs/>
          <w:color w:val="373739"/>
          <w:sz w:val="24"/>
          <w:szCs w:val="24"/>
          <w:bdr w:val="none" w:sz="0" w:space="0" w:color="auto" w:frame="1"/>
          <w:shd w:val="clear" w:color="auto" w:fill="FFFFFF"/>
        </w:rPr>
        <w:t xml:space="preserve">he issuance of </w:t>
      </w:r>
      <w:r w:rsidR="008942DD" w:rsidRPr="00BF13D7">
        <w:rPr>
          <w:rStyle w:val="ssit"/>
          <w:rFonts w:ascii="Times New Roman" w:hAnsi="Times New Roman"/>
          <w:i/>
          <w:iCs/>
          <w:color w:val="373739"/>
          <w:sz w:val="24"/>
          <w:szCs w:val="24"/>
          <w:bdr w:val="none" w:sz="0" w:space="0" w:color="auto" w:frame="1"/>
          <w:shd w:val="clear" w:color="auto" w:fill="FFFFFF"/>
        </w:rPr>
        <w:t xml:space="preserve">Ga. Power Co. v. Ga. Public Serv. Com., </w:t>
      </w:r>
      <w:r w:rsidR="008942DD" w:rsidRPr="00BF13D7">
        <w:rPr>
          <w:rStyle w:val="ssit"/>
          <w:rFonts w:ascii="Times New Roman" w:hAnsi="Times New Roman"/>
          <w:iCs/>
          <w:color w:val="373739"/>
          <w:sz w:val="24"/>
          <w:szCs w:val="24"/>
          <w:bdr w:val="none" w:sz="0" w:space="0" w:color="auto" w:frame="1"/>
          <w:shd w:val="clear" w:color="auto" w:fill="FFFFFF"/>
        </w:rPr>
        <w:t xml:space="preserve">the reasoning is consistent with the IRP Act.  On </w:t>
      </w:r>
      <w:r w:rsidR="00884976" w:rsidRPr="00BF13D7">
        <w:rPr>
          <w:rStyle w:val="ssit"/>
          <w:rFonts w:ascii="Times New Roman" w:hAnsi="Times New Roman"/>
          <w:iCs/>
          <w:color w:val="373739"/>
          <w:sz w:val="24"/>
          <w:szCs w:val="24"/>
          <w:bdr w:val="none" w:sz="0" w:space="0" w:color="auto" w:frame="1"/>
          <w:shd w:val="clear" w:color="auto" w:fill="FFFFFF"/>
        </w:rPr>
        <w:t>April 5, 2017</w:t>
      </w:r>
      <w:r w:rsidR="008942DD" w:rsidRPr="00BF13D7">
        <w:rPr>
          <w:rStyle w:val="ssit"/>
          <w:rFonts w:ascii="Times New Roman" w:hAnsi="Times New Roman"/>
          <w:iCs/>
          <w:color w:val="373739"/>
          <w:sz w:val="24"/>
          <w:szCs w:val="24"/>
          <w:bdr w:val="none" w:sz="0" w:space="0" w:color="auto" w:frame="1"/>
          <w:shd w:val="clear" w:color="auto" w:fill="FFFFFF"/>
        </w:rPr>
        <w:t xml:space="preserve"> in </w:t>
      </w:r>
      <w:r w:rsidR="00884976" w:rsidRPr="00BF13D7">
        <w:rPr>
          <w:rStyle w:val="ssit"/>
          <w:rFonts w:ascii="Times New Roman" w:hAnsi="Times New Roman"/>
          <w:iCs/>
          <w:color w:val="373739"/>
          <w:sz w:val="24"/>
          <w:szCs w:val="24"/>
          <w:bdr w:val="none" w:sz="0" w:space="0" w:color="auto" w:frame="1"/>
          <w:shd w:val="clear" w:color="auto" w:fill="FFFFFF"/>
        </w:rPr>
        <w:t>this Docket</w:t>
      </w:r>
      <w:r w:rsidR="008942DD" w:rsidRPr="00BF13D7">
        <w:rPr>
          <w:rStyle w:val="ssit"/>
          <w:rFonts w:ascii="Times New Roman" w:hAnsi="Times New Roman"/>
          <w:iCs/>
          <w:color w:val="373739"/>
          <w:sz w:val="24"/>
          <w:szCs w:val="24"/>
          <w:bdr w:val="none" w:sz="0" w:space="0" w:color="auto" w:frame="1"/>
          <w:shd w:val="clear" w:color="auto" w:fill="FFFFFF"/>
        </w:rPr>
        <w:t xml:space="preserve">, the Company </w:t>
      </w:r>
      <w:r w:rsidR="00884976" w:rsidRPr="00BF13D7">
        <w:rPr>
          <w:rStyle w:val="ssit"/>
          <w:rFonts w:ascii="Times New Roman" w:hAnsi="Times New Roman"/>
          <w:iCs/>
          <w:color w:val="373739"/>
          <w:sz w:val="24"/>
          <w:szCs w:val="24"/>
          <w:bdr w:val="none" w:sz="0" w:space="0" w:color="auto" w:frame="1"/>
          <w:shd w:val="clear" w:color="auto" w:fill="FFFFFF"/>
        </w:rPr>
        <w:t xml:space="preserve">filed its Supplemental Information Report that included </w:t>
      </w:r>
      <w:r w:rsidR="008942DD" w:rsidRPr="00BF13D7">
        <w:rPr>
          <w:rStyle w:val="ssit"/>
          <w:rFonts w:ascii="Times New Roman" w:hAnsi="Times New Roman"/>
          <w:iCs/>
          <w:color w:val="373739"/>
          <w:sz w:val="24"/>
          <w:szCs w:val="24"/>
          <w:bdr w:val="none" w:sz="0" w:space="0" w:color="auto" w:frame="1"/>
          <w:shd w:val="clear" w:color="auto" w:fill="FFFFFF"/>
        </w:rPr>
        <w:t>the Expert Report by former Georgia Supreme Court Justice Norman Fletcher.  In his report, former Justice Fletcher stated that this Court of Appeals decision “</w:t>
      </w:r>
      <w:r w:rsidR="008942DD" w:rsidRPr="00BF13D7">
        <w:rPr>
          <w:rFonts w:ascii="Times New Roman" w:hAnsi="Times New Roman"/>
          <w:sz w:val="24"/>
          <w:szCs w:val="24"/>
        </w:rPr>
        <w:t>is not contrary to [his] reading of the statute, which also makes a distinction between ‘reasonable’ and ‘prudent.’”  (Expert Report, p. 10).</w:t>
      </w:r>
      <w:r w:rsidR="00A24C70" w:rsidRPr="00BF13D7">
        <w:rPr>
          <w:rStyle w:val="ssit"/>
          <w:rFonts w:ascii="Times New Roman" w:hAnsi="Times New Roman"/>
          <w:iCs/>
          <w:color w:val="373739"/>
          <w:sz w:val="24"/>
          <w:szCs w:val="24"/>
          <w:bdr w:val="none" w:sz="0" w:space="0" w:color="auto" w:frame="1"/>
          <w:shd w:val="clear" w:color="auto" w:fill="FFFFFF"/>
        </w:rPr>
        <w:t xml:space="preserve">  Based on the foregoing, the Commission concludes as a matter of law that excessive costs over which the Company had some control are not reasonable to recover from ratepayers.</w:t>
      </w:r>
      <w:r w:rsidR="009562C7" w:rsidRPr="00BF13D7">
        <w:rPr>
          <w:rStyle w:val="ssit"/>
          <w:rFonts w:ascii="Times New Roman" w:hAnsi="Times New Roman"/>
          <w:iCs/>
          <w:color w:val="373739"/>
          <w:sz w:val="24"/>
          <w:szCs w:val="24"/>
          <w:bdr w:val="none" w:sz="0" w:space="0" w:color="auto" w:frame="1"/>
          <w:shd w:val="clear" w:color="auto" w:fill="FFFFFF"/>
        </w:rPr>
        <w:t xml:space="preserve">  </w:t>
      </w:r>
    </w:p>
    <w:p w:rsidR="00F20A87" w:rsidRPr="00BF13D7" w:rsidRDefault="00F20A87" w:rsidP="00BF13D7">
      <w:pPr>
        <w:pStyle w:val="ListParagraph"/>
        <w:spacing w:line="240" w:lineRule="auto"/>
        <w:ind w:left="90" w:firstLine="630"/>
        <w:jc w:val="both"/>
        <w:rPr>
          <w:rFonts w:ascii="Times New Roman" w:hAnsi="Times New Roman" w:cs="Times New Roman"/>
          <w:sz w:val="24"/>
          <w:szCs w:val="24"/>
        </w:rPr>
      </w:pPr>
      <w:r w:rsidRPr="00BF13D7">
        <w:rPr>
          <w:rFonts w:ascii="Times New Roman" w:hAnsi="Times New Roman" w:cs="Times New Roman"/>
          <w:sz w:val="24"/>
          <w:szCs w:val="24"/>
        </w:rPr>
        <w:t xml:space="preserve">The Company is responsible for its contractor’s decisions, actions, and inactions which resulted in the Project’s increased cost.  It is also responsible for its own actions and inactions as well as its failure to live up to its assurances to this Commission of being an “active manager” of this </w:t>
      </w:r>
      <w:r w:rsidR="00963E29">
        <w:rPr>
          <w:rFonts w:ascii="Times New Roman" w:hAnsi="Times New Roman" w:cs="Times New Roman"/>
          <w:sz w:val="24"/>
          <w:szCs w:val="24"/>
        </w:rPr>
        <w:t>Project</w:t>
      </w:r>
      <w:r w:rsidRPr="00BF13D7">
        <w:rPr>
          <w:rFonts w:ascii="Times New Roman" w:hAnsi="Times New Roman" w:cs="Times New Roman"/>
          <w:sz w:val="24"/>
          <w:szCs w:val="24"/>
        </w:rPr>
        <w:t>.  In this regard there is no distinction between the Company’s responsibility on behalf of its contractor and its own responsibility.   It is unreasonable for ratepayers to have to bear increased costs as the result of the shortcomings of the Company’s chosen contractor and the Company itself.</w:t>
      </w:r>
    </w:p>
    <w:p w:rsidR="009562C7" w:rsidRPr="00BF13D7" w:rsidRDefault="008611D5" w:rsidP="00BF13D7">
      <w:pPr>
        <w:spacing w:line="240" w:lineRule="auto"/>
        <w:ind w:firstLine="720"/>
        <w:jc w:val="both"/>
        <w:rPr>
          <w:rFonts w:ascii="Times New Roman" w:hAnsi="Times New Roman"/>
          <w:sz w:val="24"/>
          <w:szCs w:val="24"/>
        </w:rPr>
      </w:pPr>
      <w:r w:rsidRPr="00BF13D7">
        <w:rPr>
          <w:rFonts w:ascii="Times New Roman" w:hAnsi="Times New Roman"/>
          <w:sz w:val="24"/>
          <w:szCs w:val="24"/>
        </w:rPr>
        <w:t>In the event that PTCs are not extended, the a</w:t>
      </w:r>
      <w:r w:rsidR="009562C7" w:rsidRPr="00BF13D7">
        <w:rPr>
          <w:rFonts w:ascii="Times New Roman" w:hAnsi="Times New Roman"/>
          <w:sz w:val="24"/>
          <w:szCs w:val="24"/>
        </w:rPr>
        <w:t xml:space="preserve">dditional costs incurred by the Company from the loss of the PTCs represent an additional expense to the Project </w:t>
      </w:r>
      <w:r w:rsidRPr="00BF13D7">
        <w:rPr>
          <w:rFonts w:ascii="Times New Roman" w:hAnsi="Times New Roman"/>
          <w:sz w:val="24"/>
          <w:szCs w:val="24"/>
        </w:rPr>
        <w:t>that</w:t>
      </w:r>
      <w:r w:rsidR="009562C7" w:rsidRPr="00BF13D7">
        <w:rPr>
          <w:rFonts w:ascii="Times New Roman" w:hAnsi="Times New Roman"/>
          <w:sz w:val="24"/>
          <w:szCs w:val="24"/>
        </w:rPr>
        <w:t xml:space="preserve"> is certainly more in the control of Company and stem directly from the failure of the Company and its contractor to actively </w:t>
      </w:r>
      <w:r w:rsidRPr="00BF13D7">
        <w:rPr>
          <w:rFonts w:ascii="Times New Roman" w:hAnsi="Times New Roman"/>
          <w:sz w:val="24"/>
          <w:szCs w:val="24"/>
        </w:rPr>
        <w:t xml:space="preserve">and effectively </w:t>
      </w:r>
      <w:r w:rsidR="009562C7" w:rsidRPr="00BF13D7">
        <w:rPr>
          <w:rFonts w:ascii="Times New Roman" w:hAnsi="Times New Roman"/>
          <w:sz w:val="24"/>
          <w:szCs w:val="24"/>
        </w:rPr>
        <w:t>manage the Project.</w:t>
      </w:r>
      <w:r w:rsidRPr="00BF13D7">
        <w:rPr>
          <w:rFonts w:ascii="Times New Roman" w:hAnsi="Times New Roman"/>
          <w:sz w:val="24"/>
          <w:szCs w:val="24"/>
        </w:rPr>
        <w:t xml:space="preserve"> </w:t>
      </w:r>
      <w:r w:rsidR="009562C7" w:rsidRPr="00BF13D7">
        <w:rPr>
          <w:rFonts w:ascii="Times New Roman" w:hAnsi="Times New Roman"/>
          <w:sz w:val="24"/>
          <w:szCs w:val="24"/>
        </w:rPr>
        <w:t xml:space="preserve"> </w:t>
      </w:r>
      <w:r w:rsidR="004E71D5" w:rsidRPr="00BF13D7">
        <w:rPr>
          <w:rFonts w:ascii="Times New Roman" w:hAnsi="Times New Roman"/>
          <w:sz w:val="24"/>
          <w:szCs w:val="24"/>
        </w:rPr>
        <w:t xml:space="preserve">Additionally, </w:t>
      </w:r>
      <w:r w:rsidRPr="00BF13D7">
        <w:rPr>
          <w:rFonts w:ascii="Times New Roman" w:hAnsi="Times New Roman"/>
          <w:sz w:val="24"/>
          <w:szCs w:val="24"/>
        </w:rPr>
        <w:t xml:space="preserve">consistent with the findings of fact that the ineffective Project management contributed to the delay, which in turn, contributed to the bankruptcy, the Company had some control over the expense related to </w:t>
      </w:r>
      <w:r w:rsidR="004E71D5" w:rsidRPr="00BF13D7">
        <w:rPr>
          <w:rFonts w:ascii="Times New Roman" w:hAnsi="Times New Roman"/>
          <w:sz w:val="24"/>
          <w:szCs w:val="24"/>
        </w:rPr>
        <w:t>the payment of liens</w:t>
      </w:r>
      <w:r w:rsidRPr="00BF13D7">
        <w:rPr>
          <w:rFonts w:ascii="Times New Roman" w:hAnsi="Times New Roman"/>
          <w:sz w:val="24"/>
          <w:szCs w:val="24"/>
        </w:rPr>
        <w:t xml:space="preserve">.  As stated, in the factual findings, the issue is not whether the payment of the liens once in bankruptcy was prudent.  Instead, the question is whether it is reasonable to recover this expense from ratepayers.  Application of the legal standard established by the Georgia Court of Appeals and this Commission to the evidence that shows that the Company’s level of control as a purported “active manager” of the Project, the Commission concludes as a matter of law that it is not reasonable to recover from ratepayers the costs associated with the loss of the PTCs or the liens. </w:t>
      </w:r>
      <w:r w:rsidR="004E71D5" w:rsidRPr="00BF13D7">
        <w:rPr>
          <w:rFonts w:ascii="Times New Roman" w:hAnsi="Times New Roman"/>
          <w:sz w:val="24"/>
          <w:szCs w:val="24"/>
        </w:rPr>
        <w:t xml:space="preserve">  </w:t>
      </w:r>
      <w:r w:rsidR="009562C7" w:rsidRPr="00BF13D7">
        <w:rPr>
          <w:rFonts w:ascii="Times New Roman" w:hAnsi="Times New Roman"/>
          <w:sz w:val="24"/>
          <w:szCs w:val="24"/>
        </w:rPr>
        <w:t>Therefore, the Commission finds that the</w:t>
      </w:r>
      <w:r w:rsidR="004E71D5" w:rsidRPr="00BF13D7">
        <w:rPr>
          <w:rFonts w:ascii="Times New Roman" w:hAnsi="Times New Roman"/>
          <w:sz w:val="24"/>
          <w:szCs w:val="24"/>
        </w:rPr>
        <w:t>se</w:t>
      </w:r>
      <w:r w:rsidR="009562C7" w:rsidRPr="00BF13D7">
        <w:rPr>
          <w:rFonts w:ascii="Times New Roman" w:hAnsi="Times New Roman"/>
          <w:sz w:val="24"/>
          <w:szCs w:val="24"/>
        </w:rPr>
        <w:t xml:space="preserve"> costs are unreasonable and should be the responsibility of the Company and not its ratepayers.</w:t>
      </w:r>
    </w:p>
    <w:p w:rsidR="00A24C70" w:rsidRPr="00BF13D7" w:rsidRDefault="00A24C70" w:rsidP="00BF13D7">
      <w:pPr>
        <w:shd w:val="clear" w:color="auto" w:fill="FFFFFF"/>
        <w:spacing w:after="0" w:line="240" w:lineRule="auto"/>
        <w:ind w:firstLine="720"/>
        <w:jc w:val="both"/>
        <w:textAlignment w:val="baseline"/>
        <w:outlineLvl w:val="0"/>
        <w:rPr>
          <w:rStyle w:val="ssit"/>
          <w:rFonts w:ascii="Times New Roman" w:hAnsi="Times New Roman"/>
          <w:iCs/>
          <w:color w:val="373739"/>
          <w:sz w:val="24"/>
          <w:szCs w:val="24"/>
          <w:bdr w:val="none" w:sz="0" w:space="0" w:color="auto" w:frame="1"/>
          <w:shd w:val="clear" w:color="auto" w:fill="FFFFFF"/>
        </w:rPr>
      </w:pPr>
    </w:p>
    <w:p w:rsidR="00A24C70" w:rsidRPr="00BF13D7" w:rsidRDefault="00A24C70" w:rsidP="00BF13D7">
      <w:pPr>
        <w:shd w:val="clear" w:color="auto" w:fill="FFFFFF"/>
        <w:spacing w:after="0" w:line="240" w:lineRule="auto"/>
        <w:jc w:val="both"/>
        <w:textAlignment w:val="baseline"/>
        <w:outlineLvl w:val="0"/>
        <w:rPr>
          <w:rStyle w:val="ssit"/>
          <w:rFonts w:ascii="Times New Roman" w:hAnsi="Times New Roman"/>
          <w:iCs/>
          <w:color w:val="373739"/>
          <w:sz w:val="24"/>
          <w:szCs w:val="24"/>
          <w:bdr w:val="none" w:sz="0" w:space="0" w:color="auto" w:frame="1"/>
          <w:shd w:val="clear" w:color="auto" w:fill="FFFFFF"/>
        </w:rPr>
      </w:pPr>
    </w:p>
    <w:p w:rsidR="00A24C70" w:rsidRPr="00BF13D7" w:rsidRDefault="00581CAE" w:rsidP="00BF13D7">
      <w:pPr>
        <w:shd w:val="clear" w:color="auto" w:fill="FFFFFF"/>
        <w:spacing w:after="0" w:line="240" w:lineRule="auto"/>
        <w:jc w:val="both"/>
        <w:textAlignment w:val="baseline"/>
        <w:outlineLvl w:val="0"/>
        <w:rPr>
          <w:rStyle w:val="ssit"/>
          <w:rFonts w:ascii="Times New Roman" w:hAnsi="Times New Roman"/>
          <w:iCs/>
          <w:sz w:val="24"/>
          <w:szCs w:val="24"/>
          <w:bdr w:val="none" w:sz="0" w:space="0" w:color="auto" w:frame="1"/>
          <w:shd w:val="clear" w:color="auto" w:fill="FFFFFF"/>
        </w:rPr>
      </w:pPr>
      <w:r w:rsidRPr="00BF13D7">
        <w:rPr>
          <w:rStyle w:val="ssit"/>
          <w:rFonts w:ascii="Times New Roman" w:hAnsi="Times New Roman"/>
          <w:iCs/>
          <w:color w:val="373739"/>
          <w:sz w:val="24"/>
          <w:szCs w:val="24"/>
          <w:bdr w:val="none" w:sz="0" w:space="0" w:color="auto" w:frame="1"/>
          <w:shd w:val="clear" w:color="auto" w:fill="FFFFFF"/>
        </w:rPr>
        <w:t>13</w:t>
      </w:r>
      <w:r w:rsidR="00A24C70" w:rsidRPr="00BF13D7">
        <w:rPr>
          <w:rStyle w:val="ssit"/>
          <w:rFonts w:ascii="Times New Roman" w:hAnsi="Times New Roman"/>
          <w:iCs/>
          <w:color w:val="373739"/>
          <w:sz w:val="24"/>
          <w:szCs w:val="24"/>
          <w:bdr w:val="none" w:sz="0" w:space="0" w:color="auto" w:frame="1"/>
          <w:shd w:val="clear" w:color="auto" w:fill="FFFFFF"/>
        </w:rPr>
        <w:t>.</w:t>
      </w:r>
      <w:r w:rsidR="00A24C70" w:rsidRPr="00BF13D7">
        <w:rPr>
          <w:rStyle w:val="ssit"/>
          <w:rFonts w:ascii="Times New Roman" w:hAnsi="Times New Roman"/>
          <w:iCs/>
          <w:color w:val="373739"/>
          <w:sz w:val="24"/>
          <w:szCs w:val="24"/>
          <w:bdr w:val="none" w:sz="0" w:space="0" w:color="auto" w:frame="1"/>
          <w:shd w:val="clear" w:color="auto" w:fill="FFFFFF"/>
        </w:rPr>
        <w:tab/>
        <w:t xml:space="preserve">Georgia Power may only recover for those costs that are </w:t>
      </w:r>
      <w:r w:rsidR="008611D5" w:rsidRPr="00BF13D7">
        <w:rPr>
          <w:rStyle w:val="ssit"/>
          <w:rFonts w:ascii="Times New Roman" w:hAnsi="Times New Roman"/>
          <w:iCs/>
          <w:color w:val="373739"/>
          <w:sz w:val="24"/>
          <w:szCs w:val="24"/>
          <w:bdr w:val="none" w:sz="0" w:space="0" w:color="auto" w:frame="1"/>
          <w:shd w:val="clear" w:color="auto" w:fill="FFFFFF"/>
        </w:rPr>
        <w:t xml:space="preserve">used and useful </w:t>
      </w:r>
      <w:r w:rsidR="00A24C70" w:rsidRPr="00BF13D7">
        <w:rPr>
          <w:rStyle w:val="ssit"/>
          <w:rFonts w:ascii="Times New Roman" w:hAnsi="Times New Roman"/>
          <w:iCs/>
          <w:color w:val="373739"/>
          <w:sz w:val="24"/>
          <w:szCs w:val="24"/>
          <w:bdr w:val="none" w:sz="0" w:space="0" w:color="auto" w:frame="1"/>
          <w:shd w:val="clear" w:color="auto" w:fill="FFFFFF"/>
        </w:rPr>
        <w:t xml:space="preserve">in the provision of electric service.  </w:t>
      </w:r>
      <w:r w:rsidR="00BB542D" w:rsidRPr="00BF13D7">
        <w:rPr>
          <w:rFonts w:ascii="Times New Roman" w:hAnsi="Times New Roman"/>
          <w:i/>
          <w:sz w:val="24"/>
          <w:szCs w:val="24"/>
        </w:rPr>
        <w:t>See</w:t>
      </w:r>
      <w:r w:rsidR="00BB542D" w:rsidRPr="00BF13D7">
        <w:rPr>
          <w:rFonts w:ascii="Times New Roman" w:hAnsi="Times New Roman"/>
          <w:b/>
          <w:bCs/>
          <w:sz w:val="24"/>
          <w:szCs w:val="24"/>
          <w:shd w:val="clear" w:color="auto" w:fill="FFFFFF"/>
        </w:rPr>
        <w:t xml:space="preserve"> </w:t>
      </w:r>
      <w:r w:rsidR="00BB542D" w:rsidRPr="00BF13D7">
        <w:rPr>
          <w:rFonts w:ascii="Times New Roman" w:hAnsi="Times New Roman"/>
          <w:bCs/>
          <w:i/>
          <w:sz w:val="24"/>
          <w:szCs w:val="24"/>
          <w:shd w:val="clear" w:color="auto" w:fill="FFFFFF"/>
        </w:rPr>
        <w:t>Ga. Power Co. v. Ga. Public Serv. Com</w:t>
      </w:r>
      <w:r w:rsidR="00A24C70" w:rsidRPr="00BF13D7">
        <w:rPr>
          <w:rFonts w:ascii="Times New Roman" w:hAnsi="Times New Roman"/>
          <w:bCs/>
          <w:i/>
          <w:sz w:val="24"/>
          <w:szCs w:val="24"/>
          <w:shd w:val="clear" w:color="auto" w:fill="FFFFFF"/>
        </w:rPr>
        <w:t>,</w:t>
      </w:r>
      <w:r w:rsidR="00A24C70" w:rsidRPr="00BF13D7">
        <w:rPr>
          <w:rStyle w:val="apple-converted-space"/>
          <w:rFonts w:ascii="Times New Roman" w:hAnsi="Times New Roman"/>
          <w:bCs/>
          <w:i/>
          <w:sz w:val="24"/>
          <w:szCs w:val="24"/>
          <w:shd w:val="clear" w:color="auto" w:fill="FFFFFF"/>
        </w:rPr>
        <w:t> </w:t>
      </w:r>
      <w:r w:rsidR="00A24C70" w:rsidRPr="00BF13D7">
        <w:rPr>
          <w:rFonts w:ascii="Times New Roman" w:hAnsi="Times New Roman"/>
          <w:bCs/>
          <w:sz w:val="24"/>
          <w:szCs w:val="24"/>
          <w:shd w:val="clear" w:color="auto" w:fill="FFFFFF"/>
        </w:rPr>
        <w:t xml:space="preserve">196 Ga. App. 572, </w:t>
      </w:r>
      <w:r w:rsidR="00BB542D" w:rsidRPr="00BF13D7">
        <w:rPr>
          <w:rFonts w:ascii="Times New Roman" w:hAnsi="Times New Roman"/>
          <w:bCs/>
          <w:sz w:val="24"/>
          <w:szCs w:val="24"/>
          <w:shd w:val="clear" w:color="auto" w:fill="FFFFFF"/>
        </w:rPr>
        <w:t>577 (1990) (“</w:t>
      </w:r>
      <w:r w:rsidR="00BB542D" w:rsidRPr="00BF13D7">
        <w:rPr>
          <w:rFonts w:ascii="Times New Roman" w:hAnsi="Times New Roman"/>
          <w:sz w:val="24"/>
          <w:szCs w:val="24"/>
          <w:shd w:val="clear" w:color="auto" w:fill="FFFFFF"/>
        </w:rPr>
        <w:t>a reasonable return on the net valuation of the utility's property</w:t>
      </w:r>
      <w:r w:rsidR="00BB542D" w:rsidRPr="00BF13D7">
        <w:rPr>
          <w:rStyle w:val="apple-converted-space"/>
          <w:rFonts w:ascii="Times New Roman" w:hAnsi="Times New Roman"/>
          <w:sz w:val="24"/>
          <w:szCs w:val="24"/>
          <w:shd w:val="clear" w:color="auto" w:fill="FFFFFF"/>
        </w:rPr>
        <w:t> </w:t>
      </w:r>
      <w:r w:rsidR="00BB542D" w:rsidRPr="00BF13D7">
        <w:rPr>
          <w:rStyle w:val="term"/>
          <w:rFonts w:ascii="Times New Roman" w:hAnsi="Times New Roman"/>
          <w:bCs/>
          <w:sz w:val="24"/>
          <w:szCs w:val="24"/>
          <w:shd w:val="clear" w:color="auto" w:fill="FFFFFF"/>
        </w:rPr>
        <w:t>used and useful</w:t>
      </w:r>
      <w:r w:rsidR="00BB542D" w:rsidRPr="00BF13D7">
        <w:rPr>
          <w:rStyle w:val="apple-converted-space"/>
          <w:rFonts w:ascii="Times New Roman" w:hAnsi="Times New Roman"/>
          <w:sz w:val="24"/>
          <w:szCs w:val="24"/>
          <w:shd w:val="clear" w:color="auto" w:fill="FFFFFF"/>
        </w:rPr>
        <w:t> </w:t>
      </w:r>
      <w:r w:rsidR="00BB542D" w:rsidRPr="00BF13D7">
        <w:rPr>
          <w:rFonts w:ascii="Times New Roman" w:hAnsi="Times New Roman"/>
          <w:sz w:val="24"/>
          <w:szCs w:val="24"/>
          <w:shd w:val="clear" w:color="auto" w:fill="FFFFFF"/>
        </w:rPr>
        <w:t xml:space="preserve">in the public interest." </w:t>
      </w:r>
      <w:r w:rsidR="00BB542D" w:rsidRPr="00BF13D7">
        <w:rPr>
          <w:rFonts w:ascii="Times New Roman" w:hAnsi="Times New Roman"/>
          <w:i/>
          <w:sz w:val="24"/>
          <w:szCs w:val="24"/>
          <w:shd w:val="clear" w:color="auto" w:fill="FFFFFF"/>
        </w:rPr>
        <w:t>quoting</w:t>
      </w:r>
      <w:r w:rsidR="00BB542D" w:rsidRPr="00BF13D7">
        <w:rPr>
          <w:rStyle w:val="apple-converted-space"/>
          <w:rFonts w:ascii="Times New Roman" w:hAnsi="Times New Roman"/>
          <w:sz w:val="24"/>
          <w:szCs w:val="24"/>
          <w:shd w:val="clear" w:color="auto" w:fill="FFFFFF"/>
        </w:rPr>
        <w:t> </w:t>
      </w:r>
      <w:hyperlink r:id="rId8" w:history="1">
        <w:r w:rsidR="00BB542D" w:rsidRPr="00BF13D7">
          <w:rPr>
            <w:rStyle w:val="Hyperlink"/>
            <w:rFonts w:ascii="Times New Roman" w:hAnsi="Times New Roman"/>
            <w:i/>
            <w:iCs/>
            <w:color w:val="auto"/>
            <w:sz w:val="24"/>
            <w:szCs w:val="24"/>
            <w:u w:val="none"/>
            <w:shd w:val="clear" w:color="auto" w:fill="FFFFFF"/>
          </w:rPr>
          <w:t>Georgia Power Co. v. Ga. Public Svc. Comm.</w:t>
        </w:r>
        <w:r w:rsidR="00BB542D" w:rsidRPr="00BF13D7">
          <w:rPr>
            <w:rStyle w:val="Hyperlink"/>
            <w:rFonts w:ascii="Times New Roman" w:hAnsi="Times New Roman"/>
            <w:color w:val="auto"/>
            <w:sz w:val="24"/>
            <w:szCs w:val="24"/>
            <w:u w:val="none"/>
            <w:shd w:val="clear" w:color="auto" w:fill="FFFFFF"/>
          </w:rPr>
          <w:t>, 231 Ga. 339, 341 (1973)</w:t>
        </w:r>
      </w:hyperlink>
      <w:r w:rsidR="00BB542D" w:rsidRPr="00BF13D7">
        <w:rPr>
          <w:rStyle w:val="Hyperlink"/>
          <w:rFonts w:ascii="Times New Roman" w:hAnsi="Times New Roman"/>
          <w:color w:val="auto"/>
          <w:sz w:val="24"/>
          <w:szCs w:val="24"/>
          <w:u w:val="none"/>
          <w:shd w:val="clear" w:color="auto" w:fill="FFFFFF"/>
        </w:rPr>
        <w:t>)</w:t>
      </w:r>
      <w:r w:rsidR="00BB542D" w:rsidRPr="00BF13D7">
        <w:rPr>
          <w:rFonts w:ascii="Times New Roman" w:hAnsi="Times New Roman"/>
          <w:sz w:val="24"/>
          <w:szCs w:val="24"/>
          <w:shd w:val="clear" w:color="auto" w:fill="FFFFFF"/>
        </w:rPr>
        <w:t>.</w:t>
      </w:r>
      <w:r w:rsidR="008611D5" w:rsidRPr="00BF13D7">
        <w:rPr>
          <w:rFonts w:ascii="Times New Roman" w:hAnsi="Times New Roman"/>
          <w:sz w:val="24"/>
          <w:szCs w:val="24"/>
          <w:shd w:val="clear" w:color="auto" w:fill="FFFFFF"/>
        </w:rPr>
        <w:t xml:space="preserve">  The record shows that any costs related to national security interests are not used and useful in the provision of electric service.  Therefore, any effect that the Project may have on national security interests is outside the scope of this proceeding.  Georgia Power ratepayers should not have to pay as part of their electric bill any costs associated with national security.  An uneconomic plant should not be built based on a purported non-monetized benefit to national security, unless the federal government or some other entity is willing to pay the difference between the break</w:t>
      </w:r>
      <w:r w:rsidR="00D43623" w:rsidRPr="00BF13D7">
        <w:rPr>
          <w:rFonts w:ascii="Times New Roman" w:hAnsi="Times New Roman"/>
          <w:sz w:val="24"/>
          <w:szCs w:val="24"/>
          <w:shd w:val="clear" w:color="auto" w:fill="FFFFFF"/>
        </w:rPr>
        <w:t>-</w:t>
      </w:r>
      <w:r w:rsidR="008611D5" w:rsidRPr="00BF13D7">
        <w:rPr>
          <w:rFonts w:ascii="Times New Roman" w:hAnsi="Times New Roman"/>
          <w:sz w:val="24"/>
          <w:szCs w:val="24"/>
          <w:shd w:val="clear" w:color="auto" w:fill="FFFFFF"/>
        </w:rPr>
        <w:t>even point with the least cost alternative and the total cost of the Project.</w:t>
      </w:r>
    </w:p>
    <w:p w:rsidR="00A24C70" w:rsidRPr="00BF13D7" w:rsidRDefault="00A24C70" w:rsidP="00BF13D7">
      <w:pPr>
        <w:shd w:val="clear" w:color="auto" w:fill="FFFFFF"/>
        <w:spacing w:after="0" w:line="240" w:lineRule="auto"/>
        <w:jc w:val="both"/>
        <w:textAlignment w:val="baseline"/>
        <w:outlineLvl w:val="0"/>
        <w:rPr>
          <w:rStyle w:val="ssit"/>
          <w:rFonts w:ascii="Times New Roman" w:hAnsi="Times New Roman"/>
          <w:iCs/>
          <w:color w:val="373739"/>
          <w:sz w:val="24"/>
          <w:szCs w:val="24"/>
          <w:bdr w:val="none" w:sz="0" w:space="0" w:color="auto" w:frame="1"/>
          <w:shd w:val="clear" w:color="auto" w:fill="FFFFFF"/>
        </w:rPr>
      </w:pPr>
    </w:p>
    <w:p w:rsidR="00A24C70" w:rsidRPr="00BF13D7" w:rsidRDefault="00A24C70" w:rsidP="00BF13D7">
      <w:pPr>
        <w:shd w:val="clear" w:color="auto" w:fill="FFFFFF"/>
        <w:spacing w:after="0" w:line="240" w:lineRule="auto"/>
        <w:jc w:val="both"/>
        <w:textAlignment w:val="baseline"/>
        <w:outlineLvl w:val="0"/>
        <w:rPr>
          <w:rStyle w:val="ssit"/>
          <w:rFonts w:ascii="Times New Roman" w:hAnsi="Times New Roman"/>
          <w:iCs/>
          <w:color w:val="373739"/>
          <w:sz w:val="24"/>
          <w:szCs w:val="24"/>
          <w:bdr w:val="none" w:sz="0" w:space="0" w:color="auto" w:frame="1"/>
          <w:shd w:val="clear" w:color="auto" w:fill="FFFFFF"/>
        </w:rPr>
      </w:pPr>
    </w:p>
    <w:p w:rsidR="007D5DB0" w:rsidRPr="00BF13D7" w:rsidRDefault="0094499E" w:rsidP="00BF13D7">
      <w:pPr>
        <w:shd w:val="clear" w:color="auto" w:fill="FFFFFF"/>
        <w:spacing w:after="0" w:line="240" w:lineRule="auto"/>
        <w:jc w:val="both"/>
        <w:textAlignment w:val="baseline"/>
        <w:outlineLvl w:val="0"/>
        <w:rPr>
          <w:rFonts w:ascii="Times New Roman" w:hAnsi="Times New Roman"/>
          <w:color w:val="373739"/>
          <w:sz w:val="24"/>
          <w:szCs w:val="24"/>
          <w:shd w:val="clear" w:color="auto" w:fill="FFFFFF"/>
        </w:rPr>
      </w:pPr>
      <w:r w:rsidRPr="00BF13D7">
        <w:rPr>
          <w:rStyle w:val="ssit"/>
          <w:rFonts w:ascii="Times New Roman" w:hAnsi="Times New Roman"/>
          <w:iCs/>
          <w:color w:val="373739"/>
          <w:sz w:val="24"/>
          <w:szCs w:val="24"/>
          <w:bdr w:val="none" w:sz="0" w:space="0" w:color="auto" w:frame="1"/>
          <w:shd w:val="clear" w:color="auto" w:fill="FFFFFF"/>
        </w:rPr>
        <w:t>1</w:t>
      </w:r>
      <w:r w:rsidR="00581CAE" w:rsidRPr="00BF13D7">
        <w:rPr>
          <w:rStyle w:val="ssit"/>
          <w:rFonts w:ascii="Times New Roman" w:hAnsi="Times New Roman"/>
          <w:iCs/>
          <w:color w:val="373739"/>
          <w:sz w:val="24"/>
          <w:szCs w:val="24"/>
          <w:bdr w:val="none" w:sz="0" w:space="0" w:color="auto" w:frame="1"/>
          <w:shd w:val="clear" w:color="auto" w:fill="FFFFFF"/>
        </w:rPr>
        <w:t>4</w:t>
      </w:r>
      <w:r w:rsidR="00135A8D" w:rsidRPr="00BF13D7">
        <w:rPr>
          <w:rStyle w:val="ssit"/>
          <w:rFonts w:ascii="Times New Roman" w:hAnsi="Times New Roman"/>
          <w:iCs/>
          <w:color w:val="373739"/>
          <w:sz w:val="24"/>
          <w:szCs w:val="24"/>
          <w:bdr w:val="none" w:sz="0" w:space="0" w:color="auto" w:frame="1"/>
          <w:shd w:val="clear" w:color="auto" w:fill="FFFFFF"/>
        </w:rPr>
        <w:t>.</w:t>
      </w:r>
      <w:r w:rsidR="00FA5A17" w:rsidRPr="00BF13D7">
        <w:rPr>
          <w:rStyle w:val="ssit"/>
          <w:rFonts w:ascii="Times New Roman" w:hAnsi="Times New Roman"/>
          <w:iCs/>
          <w:color w:val="373739"/>
          <w:sz w:val="24"/>
          <w:szCs w:val="24"/>
          <w:bdr w:val="none" w:sz="0" w:space="0" w:color="auto" w:frame="1"/>
          <w:shd w:val="clear" w:color="auto" w:fill="FFFFFF"/>
        </w:rPr>
        <w:t xml:space="preserve">  Georgia Power has “</w:t>
      </w:r>
      <w:r w:rsidR="00FA5A17" w:rsidRPr="00BF13D7">
        <w:rPr>
          <w:rFonts w:ascii="Times New Roman" w:hAnsi="Times New Roman"/>
          <w:color w:val="373739"/>
          <w:sz w:val="24"/>
          <w:szCs w:val="24"/>
          <w:shd w:val="clear" w:color="auto" w:fill="FFFFFF"/>
        </w:rPr>
        <w:t xml:space="preserve">the right to enter into contracts between themselves, or with others, free from control or supervision of the State, so long as such contracts are not unconscionable or oppressive and do not impair the obligation of the utility to discharge its public duties.”  </w:t>
      </w:r>
      <w:r w:rsidR="00FA5A17" w:rsidRPr="00BF13D7">
        <w:rPr>
          <w:rFonts w:ascii="Times New Roman" w:hAnsi="Times New Roman"/>
          <w:i/>
          <w:color w:val="373739"/>
          <w:sz w:val="24"/>
          <w:szCs w:val="24"/>
          <w:shd w:val="clear" w:color="auto" w:fill="FFFFFF"/>
        </w:rPr>
        <w:t>Georgia Power Co. v. Georgia Public Service Commission</w:t>
      </w:r>
      <w:r w:rsidR="00FA5A17" w:rsidRPr="00BF13D7">
        <w:rPr>
          <w:rFonts w:ascii="Times New Roman" w:hAnsi="Times New Roman"/>
          <w:color w:val="373739"/>
          <w:sz w:val="24"/>
          <w:szCs w:val="24"/>
          <w:shd w:val="clear" w:color="auto" w:fill="FFFFFF"/>
        </w:rPr>
        <w:t>, 211 Ga. 223, 228 (1954).  This holding by the Georgia Supreme Court recognizes the</w:t>
      </w:r>
      <w:r w:rsidR="00AD579D" w:rsidRPr="00BF13D7">
        <w:rPr>
          <w:rFonts w:ascii="Times New Roman" w:hAnsi="Times New Roman"/>
          <w:color w:val="373739"/>
          <w:sz w:val="24"/>
          <w:szCs w:val="24"/>
          <w:shd w:val="clear" w:color="auto" w:fill="FFFFFF"/>
        </w:rPr>
        <w:t xml:space="preserve"> distinction between two private parties entering into a contract that does not impact the rights of anyone other than the contracting parties, and two private parties entering into a contract that may adversely impact non-parties to the agreement.  Such is the present case with the Co-Owner agreement.  It is not disputed that Georgia Power, through the Co-</w:t>
      </w:r>
      <w:r w:rsidR="00963E29">
        <w:rPr>
          <w:rFonts w:ascii="Times New Roman" w:hAnsi="Times New Roman"/>
          <w:color w:val="373739"/>
          <w:sz w:val="24"/>
          <w:szCs w:val="24"/>
          <w:shd w:val="clear" w:color="auto" w:fill="FFFFFF"/>
        </w:rPr>
        <w:t>Owner agreement, has given the Co-O</w:t>
      </w:r>
      <w:r w:rsidR="00AD579D" w:rsidRPr="00BF13D7">
        <w:rPr>
          <w:rFonts w:ascii="Times New Roman" w:hAnsi="Times New Roman"/>
          <w:color w:val="373739"/>
          <w:sz w:val="24"/>
          <w:szCs w:val="24"/>
          <w:shd w:val="clear" w:color="auto" w:fill="FFFFFF"/>
        </w:rPr>
        <w:t>wners a right that they previously did not have.  Specifically, the C</w:t>
      </w:r>
      <w:r w:rsidR="00963E29">
        <w:rPr>
          <w:rFonts w:ascii="Times New Roman" w:hAnsi="Times New Roman"/>
          <w:color w:val="373739"/>
          <w:sz w:val="24"/>
          <w:szCs w:val="24"/>
          <w:shd w:val="clear" w:color="auto" w:fill="FFFFFF"/>
        </w:rPr>
        <w:t>o-Owner agreement provides the Co-O</w:t>
      </w:r>
      <w:r w:rsidR="00AD579D" w:rsidRPr="00BF13D7">
        <w:rPr>
          <w:rFonts w:ascii="Times New Roman" w:hAnsi="Times New Roman"/>
          <w:color w:val="373739"/>
          <w:sz w:val="24"/>
          <w:szCs w:val="24"/>
          <w:shd w:val="clear" w:color="auto" w:fill="FFFFFF"/>
        </w:rPr>
        <w:t xml:space="preserve">wners with the right to abandon the </w:t>
      </w:r>
      <w:r w:rsidR="00963E29">
        <w:rPr>
          <w:rFonts w:ascii="Times New Roman" w:hAnsi="Times New Roman"/>
          <w:color w:val="373739"/>
          <w:sz w:val="24"/>
          <w:szCs w:val="24"/>
          <w:shd w:val="clear" w:color="auto" w:fill="FFFFFF"/>
        </w:rPr>
        <w:t>Project</w:t>
      </w:r>
      <w:r w:rsidR="00AD579D" w:rsidRPr="00BF13D7">
        <w:rPr>
          <w:rFonts w:ascii="Times New Roman" w:hAnsi="Times New Roman"/>
          <w:color w:val="373739"/>
          <w:sz w:val="24"/>
          <w:szCs w:val="24"/>
          <w:shd w:val="clear" w:color="auto" w:fill="FFFFFF"/>
        </w:rPr>
        <w:t xml:space="preserve"> if there are any cost disallowances for any reason.  Of course, it is this Commission’s charge to disallow certain costs for the reasons listed in O.C.G.A. § 46-3A-7.  If, in response to the </w:t>
      </w:r>
      <w:r w:rsidR="00963E29">
        <w:rPr>
          <w:rFonts w:ascii="Times New Roman" w:hAnsi="Times New Roman"/>
          <w:color w:val="373739"/>
          <w:sz w:val="24"/>
          <w:szCs w:val="24"/>
          <w:shd w:val="clear" w:color="auto" w:fill="FFFFFF"/>
        </w:rPr>
        <w:t>disallowance contained herein, Co-O</w:t>
      </w:r>
      <w:r w:rsidR="00AD579D" w:rsidRPr="00BF13D7">
        <w:rPr>
          <w:rFonts w:ascii="Times New Roman" w:hAnsi="Times New Roman"/>
          <w:color w:val="373739"/>
          <w:sz w:val="24"/>
          <w:szCs w:val="24"/>
          <w:shd w:val="clear" w:color="auto" w:fill="FFFFFF"/>
        </w:rPr>
        <w:t xml:space="preserve">wners abandon the Project pursuant to the Co-Owner agreement, then that may jeopardize the </w:t>
      </w:r>
      <w:r w:rsidR="00006E67" w:rsidRPr="00BF13D7">
        <w:rPr>
          <w:rFonts w:ascii="Times New Roman" w:hAnsi="Times New Roman"/>
          <w:color w:val="373739"/>
          <w:sz w:val="24"/>
          <w:szCs w:val="24"/>
          <w:shd w:val="clear" w:color="auto" w:fill="FFFFFF"/>
        </w:rPr>
        <w:t>completion of the Project.  Through cross-examination, Georgia Power suggested that this was a non-issue because, faced with disapproval of its proposed cost increases, the Company has the ability to choose to cancel the Project.</w:t>
      </w:r>
      <w:r w:rsidR="008443F0" w:rsidRPr="00BF13D7">
        <w:rPr>
          <w:rFonts w:ascii="Times New Roman" w:hAnsi="Times New Roman"/>
          <w:color w:val="373739"/>
          <w:sz w:val="24"/>
          <w:szCs w:val="24"/>
          <w:shd w:val="clear" w:color="auto" w:fill="FFFFFF"/>
        </w:rPr>
        <w:t xml:space="preserve">  (Tr. 2029).</w:t>
      </w:r>
      <w:r w:rsidR="00006E67" w:rsidRPr="00BF13D7">
        <w:rPr>
          <w:rFonts w:ascii="Times New Roman" w:hAnsi="Times New Roman"/>
          <w:color w:val="373739"/>
          <w:sz w:val="24"/>
          <w:szCs w:val="24"/>
          <w:shd w:val="clear" w:color="auto" w:fill="FFFFFF"/>
        </w:rPr>
        <w:t xml:space="preserve">  This misses the point entirely. Prior to the agreement, Georgia Power </w:t>
      </w:r>
      <w:r w:rsidR="00006E67" w:rsidRPr="00BF13D7">
        <w:rPr>
          <w:rFonts w:ascii="Times New Roman" w:hAnsi="Times New Roman"/>
          <w:i/>
          <w:color w:val="373739"/>
          <w:sz w:val="24"/>
          <w:szCs w:val="24"/>
          <w:shd w:val="clear" w:color="auto" w:fill="FFFFFF"/>
        </w:rPr>
        <w:t>could</w:t>
      </w:r>
      <w:r w:rsidR="00006E67" w:rsidRPr="00BF13D7">
        <w:rPr>
          <w:rFonts w:ascii="Times New Roman" w:hAnsi="Times New Roman"/>
          <w:color w:val="373739"/>
          <w:sz w:val="24"/>
          <w:szCs w:val="24"/>
          <w:shd w:val="clear" w:color="auto" w:fill="FFFFFF"/>
        </w:rPr>
        <w:t xml:space="preserve"> continue with the Project, even if this Commission disapproved of some costs as unreasonable, in which case Georgia Power’s ratepayers would still receive the benefit of what this Commission had determined to be the least cost reliable resource.  But, under the Co-Owner Agreement, that is no longer the case.  Even if Georgia Power is willing to </w:t>
      </w:r>
      <w:r w:rsidR="008443F0" w:rsidRPr="00BF13D7">
        <w:rPr>
          <w:rFonts w:ascii="Times New Roman" w:hAnsi="Times New Roman"/>
          <w:color w:val="373739"/>
          <w:sz w:val="24"/>
          <w:szCs w:val="24"/>
          <w:shd w:val="clear" w:color="auto" w:fill="FFFFFF"/>
        </w:rPr>
        <w:t xml:space="preserve">absorb some disallowances and </w:t>
      </w:r>
      <w:r w:rsidR="00006E67" w:rsidRPr="00BF13D7">
        <w:rPr>
          <w:rFonts w:ascii="Times New Roman" w:hAnsi="Times New Roman"/>
          <w:color w:val="373739"/>
          <w:sz w:val="24"/>
          <w:szCs w:val="24"/>
          <w:shd w:val="clear" w:color="auto" w:fill="FFFFFF"/>
        </w:rPr>
        <w:t>complete the Project</w:t>
      </w:r>
      <w:r w:rsidR="008443F0" w:rsidRPr="00BF13D7">
        <w:rPr>
          <w:rFonts w:ascii="Times New Roman" w:hAnsi="Times New Roman"/>
          <w:color w:val="373739"/>
          <w:sz w:val="24"/>
          <w:szCs w:val="24"/>
          <w:shd w:val="clear" w:color="auto" w:fill="FFFFFF"/>
        </w:rPr>
        <w:t>, the Co-Owners can thwart the Project by abandonment. That is unconscionable, and it impairs the obligation of the utility to discharge its public duties.</w:t>
      </w:r>
      <w:r w:rsidR="007D5DB0" w:rsidRPr="00BF13D7">
        <w:rPr>
          <w:rFonts w:ascii="Times New Roman" w:hAnsi="Times New Roman"/>
          <w:color w:val="373739"/>
          <w:sz w:val="24"/>
          <w:szCs w:val="24"/>
          <w:shd w:val="clear" w:color="auto" w:fill="FFFFFF"/>
        </w:rPr>
        <w:t xml:space="preserve"> </w:t>
      </w:r>
    </w:p>
    <w:p w:rsidR="007D5DB0" w:rsidRPr="00BF13D7" w:rsidRDefault="007D5DB0" w:rsidP="00BF13D7">
      <w:pPr>
        <w:shd w:val="clear" w:color="auto" w:fill="FFFFFF"/>
        <w:spacing w:after="0" w:line="240" w:lineRule="auto"/>
        <w:jc w:val="both"/>
        <w:textAlignment w:val="baseline"/>
        <w:outlineLvl w:val="0"/>
        <w:rPr>
          <w:rFonts w:ascii="Times New Roman" w:hAnsi="Times New Roman"/>
          <w:color w:val="373739"/>
          <w:sz w:val="24"/>
          <w:szCs w:val="24"/>
          <w:shd w:val="clear" w:color="auto" w:fill="FFFFFF"/>
        </w:rPr>
      </w:pPr>
    </w:p>
    <w:p w:rsidR="007D5DB0" w:rsidRPr="00BF13D7" w:rsidRDefault="007D5DB0" w:rsidP="00BF13D7">
      <w:pPr>
        <w:shd w:val="clear" w:color="auto" w:fill="FFFFFF"/>
        <w:tabs>
          <w:tab w:val="left" w:pos="450"/>
        </w:tabs>
        <w:spacing w:after="0" w:line="240" w:lineRule="auto"/>
        <w:ind w:firstLine="720"/>
        <w:jc w:val="both"/>
        <w:textAlignment w:val="baseline"/>
        <w:outlineLvl w:val="0"/>
        <w:rPr>
          <w:rFonts w:ascii="Times New Roman" w:hAnsi="Times New Roman"/>
          <w:color w:val="373739"/>
          <w:sz w:val="24"/>
          <w:szCs w:val="24"/>
          <w:shd w:val="clear" w:color="auto" w:fill="FFFFFF"/>
        </w:rPr>
      </w:pPr>
      <w:r w:rsidRPr="00BF13D7">
        <w:rPr>
          <w:rFonts w:ascii="Times New Roman" w:hAnsi="Times New Roman"/>
          <w:color w:val="373739"/>
          <w:sz w:val="24"/>
          <w:szCs w:val="24"/>
          <w:shd w:val="clear" w:color="auto" w:fill="FFFFFF"/>
        </w:rPr>
        <w:t xml:space="preserve">The Commission is also not persuaded by the Company’s </w:t>
      </w:r>
      <w:r w:rsidR="00963E29">
        <w:rPr>
          <w:rFonts w:ascii="Times New Roman" w:hAnsi="Times New Roman"/>
          <w:color w:val="373739"/>
          <w:sz w:val="24"/>
          <w:szCs w:val="24"/>
          <w:shd w:val="clear" w:color="auto" w:fill="FFFFFF"/>
        </w:rPr>
        <w:t>inferences that how the Co-O</w:t>
      </w:r>
      <w:r w:rsidRPr="00BF13D7">
        <w:rPr>
          <w:rFonts w:ascii="Times New Roman" w:hAnsi="Times New Roman"/>
          <w:color w:val="373739"/>
          <w:sz w:val="24"/>
          <w:szCs w:val="24"/>
          <w:shd w:val="clear" w:color="auto" w:fill="FFFFFF"/>
        </w:rPr>
        <w:t>wners may react to a disallowance should influence the Commission’s decision as to whether a cost is reasonable or unreasonable.  During Georgia Power’s cross-examination of PIAS panel Newsome, Hayet, Kollen, the following exchange took place:</w:t>
      </w:r>
    </w:p>
    <w:p w:rsidR="007D5DB0" w:rsidRPr="00BF13D7" w:rsidRDefault="007D5DB0" w:rsidP="00BF13D7">
      <w:pPr>
        <w:shd w:val="clear" w:color="auto" w:fill="FFFFFF"/>
        <w:spacing w:after="0" w:line="240" w:lineRule="auto"/>
        <w:ind w:firstLine="720"/>
        <w:jc w:val="both"/>
        <w:textAlignment w:val="baseline"/>
        <w:outlineLvl w:val="0"/>
        <w:rPr>
          <w:rFonts w:ascii="Times New Roman" w:hAnsi="Times New Roman"/>
          <w:color w:val="373739"/>
          <w:sz w:val="24"/>
          <w:szCs w:val="24"/>
          <w:shd w:val="clear" w:color="auto" w:fill="FFFFFF"/>
        </w:rPr>
      </w:pPr>
    </w:p>
    <w:p w:rsidR="007D5DB0" w:rsidRPr="00BF13D7" w:rsidRDefault="007D5DB0" w:rsidP="00BF13D7">
      <w:pPr>
        <w:tabs>
          <w:tab w:val="left" w:pos="-720"/>
        </w:tabs>
        <w:suppressAutoHyphens/>
        <w:spacing w:line="240" w:lineRule="auto"/>
        <w:ind w:left="720" w:right="720"/>
        <w:jc w:val="both"/>
        <w:rPr>
          <w:rFonts w:ascii="Times New Roman" w:hAnsi="Times New Roman"/>
          <w:sz w:val="24"/>
          <w:szCs w:val="24"/>
        </w:rPr>
      </w:pPr>
      <w:r w:rsidRPr="00BF13D7">
        <w:rPr>
          <w:rFonts w:ascii="Times New Roman" w:hAnsi="Times New Roman"/>
          <w:sz w:val="24"/>
          <w:szCs w:val="24"/>
        </w:rPr>
        <w:t>Q</w:t>
      </w:r>
      <w:r w:rsidRPr="00BF13D7">
        <w:rPr>
          <w:rFonts w:ascii="Times New Roman" w:hAnsi="Times New Roman"/>
          <w:sz w:val="24"/>
          <w:szCs w:val="24"/>
        </w:rPr>
        <w:tab/>
        <w:t xml:space="preserve">(Counsel for Georgia Power)  . . . what I'm suggesting is, is that if it is unfair to allocate certain costs -- capital costs to Georgia Power customers, perhaps the MEAG and Oglethorpe customers themselves will decide they don't want to allocate that to themselves either, and since these dollars haven't been spent yet, they'd just as soon not spend them. </w:t>
      </w:r>
    </w:p>
    <w:p w:rsidR="007D5DB0" w:rsidRPr="00BF13D7" w:rsidRDefault="007D5DB0" w:rsidP="00BF13D7">
      <w:pPr>
        <w:shd w:val="clear" w:color="auto" w:fill="FFFFFF"/>
        <w:spacing w:after="0" w:line="240" w:lineRule="auto"/>
        <w:ind w:left="720" w:right="720"/>
        <w:jc w:val="both"/>
        <w:textAlignment w:val="baseline"/>
        <w:outlineLvl w:val="0"/>
        <w:rPr>
          <w:rFonts w:ascii="Times New Roman" w:hAnsi="Times New Roman"/>
          <w:sz w:val="24"/>
          <w:szCs w:val="24"/>
        </w:rPr>
      </w:pPr>
      <w:r w:rsidRPr="00BF13D7">
        <w:rPr>
          <w:rFonts w:ascii="Times New Roman" w:hAnsi="Times New Roman"/>
          <w:sz w:val="24"/>
          <w:szCs w:val="24"/>
        </w:rPr>
        <w:t>A</w:t>
      </w:r>
      <w:r w:rsidRPr="00BF13D7">
        <w:rPr>
          <w:rFonts w:ascii="Times New Roman" w:hAnsi="Times New Roman"/>
          <w:sz w:val="24"/>
          <w:szCs w:val="24"/>
        </w:rPr>
        <w:tab/>
        <w:t>(Witness Kollen)  Well, that would be up to their boards or their city councils.  That's not this Commission's jurisdiction, quite frankly. (Tr. 2022).</w:t>
      </w:r>
    </w:p>
    <w:p w:rsidR="007D5DB0" w:rsidRPr="00BF13D7" w:rsidRDefault="007D5DB0" w:rsidP="00BF13D7">
      <w:pPr>
        <w:shd w:val="clear" w:color="auto" w:fill="FFFFFF"/>
        <w:spacing w:after="0" w:line="240" w:lineRule="auto"/>
        <w:ind w:left="634" w:right="720" w:firstLine="86"/>
        <w:jc w:val="both"/>
        <w:textAlignment w:val="baseline"/>
        <w:outlineLvl w:val="0"/>
        <w:rPr>
          <w:rFonts w:ascii="Times New Roman" w:hAnsi="Times New Roman"/>
          <w:sz w:val="24"/>
          <w:szCs w:val="24"/>
        </w:rPr>
      </w:pPr>
    </w:p>
    <w:p w:rsidR="007D5DB0" w:rsidRPr="00BF13D7" w:rsidRDefault="007D5DB0" w:rsidP="00BF13D7">
      <w:pPr>
        <w:shd w:val="clear" w:color="auto" w:fill="FFFFFF"/>
        <w:spacing w:after="0" w:line="240" w:lineRule="auto"/>
        <w:jc w:val="both"/>
        <w:textAlignment w:val="baseline"/>
        <w:outlineLvl w:val="0"/>
        <w:rPr>
          <w:rFonts w:ascii="Times New Roman" w:hAnsi="Times New Roman"/>
          <w:sz w:val="24"/>
          <w:szCs w:val="24"/>
        </w:rPr>
      </w:pPr>
      <w:r w:rsidRPr="00BF13D7">
        <w:rPr>
          <w:rFonts w:ascii="Times New Roman" w:hAnsi="Times New Roman"/>
          <w:sz w:val="24"/>
          <w:szCs w:val="24"/>
        </w:rPr>
        <w:t>PIAS witness Kollen is correct.  The Commiss</w:t>
      </w:r>
      <w:r w:rsidR="00963E29">
        <w:rPr>
          <w:rFonts w:ascii="Times New Roman" w:hAnsi="Times New Roman"/>
          <w:sz w:val="24"/>
          <w:szCs w:val="24"/>
        </w:rPr>
        <w:t>ion does not set rates for the Co-O</w:t>
      </w:r>
      <w:r w:rsidRPr="00BF13D7">
        <w:rPr>
          <w:rFonts w:ascii="Times New Roman" w:hAnsi="Times New Roman"/>
          <w:sz w:val="24"/>
          <w:szCs w:val="24"/>
        </w:rPr>
        <w:t>wners.  Its charge is to ensure that the rates Georgia Power charges are just and reasonable. Georgia Powe</w:t>
      </w:r>
      <w:r w:rsidR="00963E29">
        <w:rPr>
          <w:rFonts w:ascii="Times New Roman" w:hAnsi="Times New Roman"/>
          <w:sz w:val="24"/>
          <w:szCs w:val="24"/>
        </w:rPr>
        <w:t>r’s cross illustrates that the Co-O</w:t>
      </w:r>
      <w:r w:rsidRPr="00BF13D7">
        <w:rPr>
          <w:rFonts w:ascii="Times New Roman" w:hAnsi="Times New Roman"/>
          <w:sz w:val="24"/>
          <w:szCs w:val="24"/>
        </w:rPr>
        <w:t xml:space="preserve">wner agreement is unconscionable.  </w:t>
      </w:r>
      <w:r w:rsidR="0071406B" w:rsidRPr="00BF13D7">
        <w:rPr>
          <w:rFonts w:ascii="Times New Roman" w:hAnsi="Times New Roman"/>
          <w:sz w:val="24"/>
          <w:szCs w:val="24"/>
        </w:rPr>
        <w:t>Prior to en</w:t>
      </w:r>
      <w:r w:rsidR="00963E29">
        <w:rPr>
          <w:rFonts w:ascii="Times New Roman" w:hAnsi="Times New Roman"/>
          <w:sz w:val="24"/>
          <w:szCs w:val="24"/>
        </w:rPr>
        <w:t>tering into the agreement, the Co-O</w:t>
      </w:r>
      <w:r w:rsidR="0071406B" w:rsidRPr="00BF13D7">
        <w:rPr>
          <w:rFonts w:ascii="Times New Roman" w:hAnsi="Times New Roman"/>
          <w:sz w:val="24"/>
          <w:szCs w:val="24"/>
        </w:rPr>
        <w:t>wners did not have the right to abandon the Project in response to a finding by the Commission that certain costs should not be recovered from the Company’s ratepayers because the costs were not sho</w:t>
      </w:r>
      <w:r w:rsidR="00963E29">
        <w:rPr>
          <w:rFonts w:ascii="Times New Roman" w:hAnsi="Times New Roman"/>
          <w:sz w:val="24"/>
          <w:szCs w:val="24"/>
        </w:rPr>
        <w:t>wn to be reasonable.  Now, the Co-O</w:t>
      </w:r>
      <w:r w:rsidR="0071406B" w:rsidRPr="00BF13D7">
        <w:rPr>
          <w:rFonts w:ascii="Times New Roman" w:hAnsi="Times New Roman"/>
          <w:sz w:val="24"/>
          <w:szCs w:val="24"/>
        </w:rPr>
        <w:t>wners have that right.  And Georgia Power suggests that the C</w:t>
      </w:r>
      <w:r w:rsidR="00963E29">
        <w:rPr>
          <w:rFonts w:ascii="Times New Roman" w:hAnsi="Times New Roman"/>
          <w:sz w:val="24"/>
          <w:szCs w:val="24"/>
        </w:rPr>
        <w:t>ommission should weigh how the Co-O</w:t>
      </w:r>
      <w:r w:rsidR="0071406B" w:rsidRPr="00BF13D7">
        <w:rPr>
          <w:rFonts w:ascii="Times New Roman" w:hAnsi="Times New Roman"/>
          <w:sz w:val="24"/>
          <w:szCs w:val="24"/>
        </w:rPr>
        <w:t xml:space="preserve">wners may exercise that right in its consideration of whether it is reasonable to make the Company’s ratepayers foot the bill for excessive costs that were within the Company’s control.  </w:t>
      </w:r>
    </w:p>
    <w:p w:rsidR="0071406B" w:rsidRPr="00BF13D7" w:rsidRDefault="0071406B" w:rsidP="00BF13D7">
      <w:pPr>
        <w:shd w:val="clear" w:color="auto" w:fill="FFFFFF"/>
        <w:spacing w:after="0" w:line="240" w:lineRule="auto"/>
        <w:jc w:val="both"/>
        <w:textAlignment w:val="baseline"/>
        <w:outlineLvl w:val="0"/>
        <w:rPr>
          <w:rFonts w:ascii="Times New Roman" w:hAnsi="Times New Roman"/>
          <w:sz w:val="24"/>
          <w:szCs w:val="24"/>
        </w:rPr>
      </w:pPr>
    </w:p>
    <w:p w:rsidR="0071406B" w:rsidRPr="00BF13D7" w:rsidRDefault="0071406B" w:rsidP="00BF13D7">
      <w:pPr>
        <w:shd w:val="clear" w:color="auto" w:fill="FFFFFF"/>
        <w:spacing w:after="0" w:line="240" w:lineRule="auto"/>
        <w:jc w:val="both"/>
        <w:textAlignment w:val="baseline"/>
        <w:outlineLvl w:val="0"/>
        <w:rPr>
          <w:rFonts w:ascii="Times New Roman" w:hAnsi="Times New Roman"/>
          <w:sz w:val="24"/>
          <w:szCs w:val="24"/>
        </w:rPr>
      </w:pPr>
      <w:r w:rsidRPr="00BF13D7">
        <w:rPr>
          <w:rFonts w:ascii="Times New Roman" w:hAnsi="Times New Roman"/>
          <w:sz w:val="24"/>
          <w:szCs w:val="24"/>
        </w:rPr>
        <w:tab/>
        <w:t xml:space="preserve">It is also not lost on this Commission the self-serving nature of the Co-Owner Agreement.  Georgia Power stands to benefit if the threat of the </w:t>
      </w:r>
      <w:r w:rsidR="00963E29">
        <w:rPr>
          <w:rFonts w:ascii="Times New Roman" w:hAnsi="Times New Roman"/>
          <w:sz w:val="24"/>
          <w:szCs w:val="24"/>
        </w:rPr>
        <w:t>Co-O</w:t>
      </w:r>
      <w:r w:rsidRPr="00BF13D7">
        <w:rPr>
          <w:rFonts w:ascii="Times New Roman" w:hAnsi="Times New Roman"/>
          <w:sz w:val="24"/>
          <w:szCs w:val="24"/>
        </w:rPr>
        <w:t xml:space="preserve">wners abandoning the Project caused this agency to approve the recovery from ratepayers of unreasonable costs.  However, the Commission concludes as a matter of law that such a threat does not factor into the determination of whether a cost is reasonable.  The Commission cannot approve the recovery of costs above the approved amount, unless it has been shown that the costs are reasonable and prudent.  O.C.G.A. § 46-3A-7(a).  </w:t>
      </w:r>
    </w:p>
    <w:p w:rsidR="007D5DB0" w:rsidRPr="00BF13D7" w:rsidRDefault="007D5DB0" w:rsidP="00BF13D7">
      <w:pPr>
        <w:shd w:val="clear" w:color="auto" w:fill="FFFFFF"/>
        <w:spacing w:after="0" w:line="240" w:lineRule="auto"/>
        <w:ind w:left="634" w:right="720" w:firstLine="86"/>
        <w:jc w:val="both"/>
        <w:textAlignment w:val="baseline"/>
        <w:outlineLvl w:val="0"/>
        <w:rPr>
          <w:rFonts w:ascii="Times New Roman" w:hAnsi="Times New Roman"/>
          <w:color w:val="373739"/>
          <w:sz w:val="24"/>
          <w:szCs w:val="24"/>
          <w:shd w:val="clear" w:color="auto" w:fill="FFFFFF"/>
        </w:rPr>
      </w:pPr>
    </w:p>
    <w:p w:rsidR="008443F0" w:rsidRDefault="008443F0" w:rsidP="00BF13D7">
      <w:pPr>
        <w:shd w:val="clear" w:color="auto" w:fill="FFFFFF"/>
        <w:spacing w:after="0" w:line="240" w:lineRule="auto"/>
        <w:jc w:val="both"/>
        <w:textAlignment w:val="baseline"/>
        <w:outlineLvl w:val="0"/>
        <w:rPr>
          <w:rFonts w:ascii="Times New Roman" w:hAnsi="Times New Roman"/>
          <w:color w:val="373739"/>
          <w:sz w:val="24"/>
          <w:szCs w:val="24"/>
          <w:shd w:val="clear" w:color="auto" w:fill="FFFFFF"/>
        </w:rPr>
      </w:pPr>
      <w:r w:rsidRPr="00BF13D7">
        <w:rPr>
          <w:rFonts w:ascii="Times New Roman" w:hAnsi="Times New Roman"/>
          <w:color w:val="373739"/>
          <w:sz w:val="24"/>
          <w:szCs w:val="24"/>
          <w:shd w:val="clear" w:color="auto" w:fill="FFFFFF"/>
        </w:rPr>
        <w:tab/>
        <w:t>Moreover, Georgia Power’s argument that it was someh</w:t>
      </w:r>
      <w:r w:rsidR="00963E29">
        <w:rPr>
          <w:rFonts w:ascii="Times New Roman" w:hAnsi="Times New Roman"/>
          <w:color w:val="373739"/>
          <w:sz w:val="24"/>
          <w:szCs w:val="24"/>
          <w:shd w:val="clear" w:color="auto" w:fill="FFFFFF"/>
        </w:rPr>
        <w:t>ow required to accommodate the Co-O</w:t>
      </w:r>
      <w:r w:rsidRPr="00BF13D7">
        <w:rPr>
          <w:rFonts w:ascii="Times New Roman" w:hAnsi="Times New Roman"/>
          <w:color w:val="373739"/>
          <w:sz w:val="24"/>
          <w:szCs w:val="24"/>
          <w:shd w:val="clear" w:color="auto" w:fill="FFFFFF"/>
        </w:rPr>
        <w:t xml:space="preserve">wners’ positions in the contract because it is acting as their agent is erroneous.  (Tr. 2029-30).  Georgia Power has confused being an agent of the </w:t>
      </w:r>
      <w:r w:rsidR="00963E29">
        <w:rPr>
          <w:rFonts w:ascii="Times New Roman" w:hAnsi="Times New Roman"/>
          <w:color w:val="373739"/>
          <w:sz w:val="24"/>
          <w:szCs w:val="24"/>
          <w:shd w:val="clear" w:color="auto" w:fill="FFFFFF"/>
        </w:rPr>
        <w:t>Co-O</w:t>
      </w:r>
      <w:r w:rsidR="008157B8" w:rsidRPr="00BF13D7">
        <w:rPr>
          <w:rFonts w:ascii="Times New Roman" w:hAnsi="Times New Roman"/>
          <w:color w:val="373739"/>
          <w:sz w:val="24"/>
          <w:szCs w:val="24"/>
          <w:shd w:val="clear" w:color="auto" w:fill="FFFFFF"/>
        </w:rPr>
        <w:t xml:space="preserve">wners </w:t>
      </w:r>
      <w:r w:rsidRPr="00BF13D7">
        <w:rPr>
          <w:rFonts w:ascii="Times New Roman" w:hAnsi="Times New Roman"/>
          <w:color w:val="373739"/>
          <w:sz w:val="24"/>
          <w:szCs w:val="24"/>
          <w:shd w:val="clear" w:color="auto" w:fill="FFFFFF"/>
        </w:rPr>
        <w:t xml:space="preserve">for purposes of the construction, which it is, </w:t>
      </w:r>
      <w:r w:rsidR="00963E29">
        <w:rPr>
          <w:rFonts w:ascii="Times New Roman" w:hAnsi="Times New Roman"/>
          <w:color w:val="373739"/>
          <w:sz w:val="24"/>
          <w:szCs w:val="24"/>
          <w:shd w:val="clear" w:color="auto" w:fill="FFFFFF"/>
        </w:rPr>
        <w:t>with being an agent of the Co-O</w:t>
      </w:r>
      <w:r w:rsidR="008157B8" w:rsidRPr="00BF13D7">
        <w:rPr>
          <w:rFonts w:ascii="Times New Roman" w:hAnsi="Times New Roman"/>
          <w:color w:val="373739"/>
          <w:sz w:val="24"/>
          <w:szCs w:val="24"/>
          <w:shd w:val="clear" w:color="auto" w:fill="FFFFFF"/>
        </w:rPr>
        <w:t xml:space="preserve">wners for purposes of negotiation </w:t>
      </w:r>
      <w:r w:rsidR="00392C34" w:rsidRPr="00BF13D7">
        <w:rPr>
          <w:rFonts w:ascii="Times New Roman" w:hAnsi="Times New Roman"/>
          <w:color w:val="373739"/>
          <w:sz w:val="24"/>
          <w:szCs w:val="24"/>
          <w:shd w:val="clear" w:color="auto" w:fill="FFFFFF"/>
        </w:rPr>
        <w:t xml:space="preserve">of </w:t>
      </w:r>
      <w:r w:rsidR="008157B8" w:rsidRPr="00BF13D7">
        <w:rPr>
          <w:rFonts w:ascii="Times New Roman" w:hAnsi="Times New Roman"/>
          <w:color w:val="373739"/>
          <w:sz w:val="24"/>
          <w:szCs w:val="24"/>
          <w:shd w:val="clear" w:color="auto" w:fill="FFFFFF"/>
        </w:rPr>
        <w:t>the Co-Owner Agreement, which it is not.  Indeed, it is difficult to understand how it could be an arms-length contract if Georgia Power was negotiating</w:t>
      </w:r>
      <w:r w:rsidR="008157B8">
        <w:rPr>
          <w:rFonts w:ascii="Times New Roman" w:hAnsi="Times New Roman"/>
          <w:color w:val="373739"/>
          <w:sz w:val="24"/>
          <w:szCs w:val="24"/>
          <w:shd w:val="clear" w:color="auto" w:fill="FFFFFF"/>
        </w:rPr>
        <w:t xml:space="preserve"> on behalf of every party to the agreement.  </w:t>
      </w:r>
    </w:p>
    <w:p w:rsidR="00EA10CE" w:rsidRPr="00CD0032" w:rsidRDefault="00EA10CE" w:rsidP="00F20A87">
      <w:pPr>
        <w:shd w:val="clear" w:color="auto" w:fill="FFFFFF"/>
        <w:spacing w:after="0" w:line="240" w:lineRule="auto"/>
        <w:textAlignment w:val="baseline"/>
        <w:outlineLvl w:val="0"/>
        <w:rPr>
          <w:rFonts w:ascii="Times New Roman" w:hAnsi="Times New Roman"/>
          <w:color w:val="373739"/>
          <w:sz w:val="24"/>
          <w:szCs w:val="24"/>
          <w:shd w:val="clear" w:color="auto" w:fill="FFFFFF"/>
        </w:rPr>
      </w:pPr>
    </w:p>
    <w:p w:rsidR="00546EEB" w:rsidRDefault="007D5DB0" w:rsidP="00F20A87">
      <w:pPr>
        <w:shd w:val="clear" w:color="auto" w:fill="FFFFFF"/>
        <w:spacing w:after="0" w:line="240" w:lineRule="auto"/>
        <w:textAlignment w:val="baseline"/>
        <w:outlineLvl w:val="0"/>
        <w:rPr>
          <w:rFonts w:ascii="Times New Roman" w:hAnsi="Times New Roman"/>
          <w:sz w:val="24"/>
          <w:szCs w:val="24"/>
        </w:rPr>
      </w:pPr>
      <w:r>
        <w:rPr>
          <w:rFonts w:ascii="Times New Roman" w:hAnsi="Times New Roman"/>
          <w:color w:val="373739"/>
          <w:sz w:val="24"/>
          <w:szCs w:val="24"/>
          <w:shd w:val="clear" w:color="auto" w:fill="FFFFFF"/>
        </w:rPr>
        <w:tab/>
      </w:r>
    </w:p>
    <w:p w:rsidR="00D835A6" w:rsidRDefault="00D835A6">
      <w:pPr>
        <w:spacing w:after="0" w:line="240" w:lineRule="auto"/>
        <w:rPr>
          <w:rFonts w:ascii="Times New Roman" w:hAnsi="Times New Roman"/>
          <w:b/>
          <w:bCs/>
          <w:sz w:val="24"/>
          <w:szCs w:val="24"/>
        </w:rPr>
      </w:pPr>
      <w:r>
        <w:rPr>
          <w:rFonts w:ascii="Times New Roman" w:hAnsi="Times New Roman"/>
          <w:b/>
          <w:bCs/>
          <w:sz w:val="24"/>
          <w:szCs w:val="24"/>
        </w:rPr>
        <w:br w:type="page"/>
      </w:r>
    </w:p>
    <w:p w:rsidR="0069025F" w:rsidRPr="0069025F" w:rsidRDefault="0069025F" w:rsidP="0069025F">
      <w:pPr>
        <w:spacing w:line="240" w:lineRule="auto"/>
        <w:ind w:firstLine="720"/>
        <w:jc w:val="center"/>
        <w:outlineLvl w:val="0"/>
        <w:rPr>
          <w:rFonts w:ascii="Times New Roman" w:hAnsi="Times New Roman"/>
          <w:b/>
          <w:bCs/>
          <w:sz w:val="24"/>
          <w:szCs w:val="24"/>
          <w:u w:val="single"/>
        </w:rPr>
      </w:pPr>
      <w:r w:rsidRPr="0069025F">
        <w:rPr>
          <w:rFonts w:ascii="Times New Roman" w:hAnsi="Times New Roman"/>
          <w:b/>
          <w:bCs/>
          <w:sz w:val="24"/>
          <w:szCs w:val="24"/>
        </w:rPr>
        <w:t>VI.</w:t>
      </w:r>
      <w:r w:rsidRPr="0069025F">
        <w:rPr>
          <w:rFonts w:ascii="Times New Roman" w:hAnsi="Times New Roman"/>
          <w:b/>
          <w:bCs/>
          <w:sz w:val="24"/>
          <w:szCs w:val="24"/>
        </w:rPr>
        <w:tab/>
      </w:r>
      <w:r w:rsidRPr="0069025F">
        <w:rPr>
          <w:rFonts w:ascii="Times New Roman" w:hAnsi="Times New Roman"/>
          <w:b/>
          <w:bCs/>
          <w:sz w:val="24"/>
          <w:szCs w:val="24"/>
          <w:u w:val="single"/>
        </w:rPr>
        <w:t>ORDERING PARAGRAPHS</w:t>
      </w:r>
    </w:p>
    <w:p w:rsidR="0069025F" w:rsidRPr="0069025F" w:rsidRDefault="0069025F" w:rsidP="0069025F">
      <w:pPr>
        <w:shd w:val="clear" w:color="auto" w:fill="FFFFFF"/>
        <w:spacing w:line="240" w:lineRule="auto"/>
        <w:jc w:val="both"/>
        <w:textAlignment w:val="baseline"/>
        <w:outlineLvl w:val="0"/>
        <w:rPr>
          <w:rStyle w:val="ssit"/>
          <w:rFonts w:ascii="Times New Roman" w:hAnsi="Times New Roman"/>
          <w:iCs/>
          <w:color w:val="373739"/>
          <w:sz w:val="24"/>
          <w:szCs w:val="24"/>
          <w:bdr w:val="none" w:sz="0" w:space="0" w:color="auto" w:frame="1"/>
          <w:shd w:val="clear" w:color="auto" w:fill="FFFFFF"/>
        </w:rPr>
      </w:pPr>
      <w:r w:rsidRPr="0069025F">
        <w:rPr>
          <w:rFonts w:ascii="Times New Roman" w:hAnsi="Times New Roman"/>
          <w:b/>
          <w:bCs/>
          <w:sz w:val="24"/>
          <w:szCs w:val="24"/>
        </w:rPr>
        <w:tab/>
        <w:t>WHEREFORE IT IS ORDERED</w:t>
      </w:r>
      <w:r w:rsidRPr="0069025F">
        <w:rPr>
          <w:rFonts w:ascii="Times New Roman" w:hAnsi="Times New Roman"/>
          <w:sz w:val="24"/>
          <w:szCs w:val="24"/>
        </w:rPr>
        <w:t xml:space="preserve">, that the Commission verifies and approves </w:t>
      </w:r>
      <w:r w:rsidRPr="0069025F">
        <w:rPr>
          <w:rStyle w:val="ssit"/>
          <w:rFonts w:ascii="Times New Roman" w:hAnsi="Times New Roman"/>
          <w:iCs/>
          <w:color w:val="373739"/>
          <w:sz w:val="24"/>
          <w:szCs w:val="24"/>
          <w:bdr w:val="none" w:sz="0" w:space="0" w:color="auto" w:frame="1"/>
          <w:shd w:val="clear" w:color="auto" w:fill="FFFFFF"/>
        </w:rPr>
        <w:t xml:space="preserve">$44 million of the costs expended by the Company during the period January 1, 2017 to June 30, 2017 </w:t>
      </w:r>
      <w:r w:rsidRPr="0069025F">
        <w:rPr>
          <w:rFonts w:ascii="Times New Roman" w:hAnsi="Times New Roman"/>
          <w:sz w:val="24"/>
          <w:szCs w:val="24"/>
        </w:rPr>
        <w:t>pursuant to the Certificate of Public Convenience and Necessity and O.C.G.A Section 46-3A-7(b) for Plant Vogtle Units 3 and 4 for the period</w:t>
      </w:r>
      <w:r w:rsidRPr="0069025F">
        <w:rPr>
          <w:rStyle w:val="ssit"/>
          <w:rFonts w:ascii="Times New Roman" w:hAnsi="Times New Roman"/>
          <w:iCs/>
          <w:color w:val="373739"/>
          <w:sz w:val="24"/>
          <w:szCs w:val="24"/>
          <w:bdr w:val="none" w:sz="0" w:space="0" w:color="auto" w:frame="1"/>
          <w:shd w:val="clear" w:color="auto" w:fill="FFFFFF"/>
        </w:rPr>
        <w:t xml:space="preserve">. </w:t>
      </w:r>
      <w:r w:rsidRPr="0069025F">
        <w:rPr>
          <w:rFonts w:ascii="Times New Roman" w:hAnsi="Times New Roman"/>
          <w:sz w:val="24"/>
          <w:szCs w:val="24"/>
        </w:rPr>
        <w:t>Verification and approval of costs means a determination that such costs have actually been spent on the Project and does not preclude a subsequent disallowance by this Commission.</w:t>
      </w:r>
    </w:p>
    <w:p w:rsidR="0069025F" w:rsidRPr="0069025F" w:rsidRDefault="0069025F" w:rsidP="0069025F">
      <w:pPr>
        <w:widowControl w:val="0"/>
        <w:spacing w:line="240" w:lineRule="auto"/>
        <w:ind w:firstLine="720"/>
        <w:jc w:val="both"/>
        <w:rPr>
          <w:rFonts w:ascii="Times New Roman" w:hAnsi="Times New Roman"/>
          <w:sz w:val="24"/>
          <w:szCs w:val="24"/>
        </w:rPr>
      </w:pPr>
      <w:r w:rsidRPr="0069025F">
        <w:rPr>
          <w:rFonts w:ascii="Times New Roman" w:hAnsi="Times New Roman"/>
          <w:b/>
          <w:bCs/>
          <w:sz w:val="24"/>
          <w:szCs w:val="24"/>
        </w:rPr>
        <w:t xml:space="preserve">ORDERED FURTHER, </w:t>
      </w:r>
      <w:r w:rsidRPr="0069025F">
        <w:rPr>
          <w:rFonts w:ascii="Times New Roman" w:hAnsi="Times New Roman"/>
          <w:sz w:val="24"/>
          <w:szCs w:val="24"/>
        </w:rPr>
        <w:t xml:space="preserve">that the Commission denies the Company’s request for </w:t>
      </w:r>
      <w:r w:rsidRPr="0069025F">
        <w:rPr>
          <w:rFonts w:ascii="Times New Roman" w:eastAsiaTheme="minorEastAsia" w:hAnsi="Times New Roman"/>
          <w:sz w:val="24"/>
          <w:szCs w:val="24"/>
        </w:rPr>
        <w:t xml:space="preserve">approval of its new cost and schedule forecast and finds that it is not a reasonable basis for going forward with </w:t>
      </w:r>
      <w:r w:rsidRPr="0069025F">
        <w:rPr>
          <w:rFonts w:ascii="Times New Roman" w:hAnsi="Times New Roman"/>
          <w:sz w:val="24"/>
          <w:szCs w:val="24"/>
        </w:rPr>
        <w:t>Plant Vogtle Units 3 and 4.</w:t>
      </w:r>
    </w:p>
    <w:p w:rsidR="0069025F" w:rsidRPr="0069025F" w:rsidRDefault="0069025F" w:rsidP="0069025F">
      <w:pPr>
        <w:widowControl w:val="0"/>
        <w:spacing w:line="240" w:lineRule="auto"/>
        <w:ind w:firstLine="720"/>
        <w:jc w:val="both"/>
        <w:rPr>
          <w:rFonts w:ascii="Times New Roman" w:hAnsi="Times New Roman"/>
          <w:sz w:val="24"/>
          <w:szCs w:val="24"/>
        </w:rPr>
      </w:pPr>
      <w:r w:rsidRPr="0069025F">
        <w:rPr>
          <w:rFonts w:ascii="Times New Roman" w:hAnsi="Times New Roman"/>
          <w:b/>
          <w:bCs/>
          <w:sz w:val="24"/>
          <w:szCs w:val="24"/>
        </w:rPr>
        <w:t xml:space="preserve">ORDERED FURTHER, </w:t>
      </w:r>
      <w:r w:rsidRPr="0069025F">
        <w:rPr>
          <w:rFonts w:ascii="Times New Roman" w:hAnsi="Times New Roman"/>
          <w:sz w:val="24"/>
          <w:szCs w:val="24"/>
        </w:rPr>
        <w:t xml:space="preserve">that the Commission finds that costs above $9.0 billion are unreasonable to recover from ratepayers. </w:t>
      </w:r>
    </w:p>
    <w:p w:rsidR="0069025F" w:rsidRPr="0069025F" w:rsidRDefault="0069025F" w:rsidP="0069025F">
      <w:pPr>
        <w:widowControl w:val="0"/>
        <w:spacing w:line="240" w:lineRule="auto"/>
        <w:ind w:firstLine="720"/>
        <w:jc w:val="both"/>
        <w:rPr>
          <w:rFonts w:ascii="Times New Roman" w:hAnsi="Times New Roman"/>
          <w:sz w:val="24"/>
          <w:szCs w:val="24"/>
        </w:rPr>
      </w:pPr>
      <w:r w:rsidRPr="0069025F">
        <w:rPr>
          <w:rFonts w:ascii="Times New Roman" w:hAnsi="Times New Roman"/>
          <w:b/>
          <w:bCs/>
          <w:sz w:val="24"/>
          <w:szCs w:val="24"/>
        </w:rPr>
        <w:t xml:space="preserve">ORDERED FURTHER, </w:t>
      </w:r>
      <w:r w:rsidRPr="0069025F">
        <w:rPr>
          <w:rFonts w:ascii="Times New Roman" w:hAnsi="Times New Roman"/>
          <w:sz w:val="24"/>
          <w:szCs w:val="24"/>
        </w:rPr>
        <w:t>that the Commission declines to adopt the Company’s proposed condition that the Project capital costs not be reduced in a future rate proceeding if the Project does not qualify for the Production Tax Credits.  Instead, the Commission adopts a condition that because of the Company’s repeated schedule delays, the failure to receive the PTCs, unless extended by Congress, will be reviewed in a future post-construction prudence and reasonableness review of the Company’s actual decisions, actions, and inactions, and the actual costs that were incurred.</w:t>
      </w:r>
    </w:p>
    <w:p w:rsidR="0069025F" w:rsidRPr="0069025F" w:rsidRDefault="0069025F" w:rsidP="0069025F">
      <w:pPr>
        <w:spacing w:line="240" w:lineRule="auto"/>
        <w:ind w:firstLine="720"/>
        <w:jc w:val="both"/>
        <w:rPr>
          <w:rFonts w:ascii="Times New Roman" w:hAnsi="Times New Roman"/>
          <w:sz w:val="24"/>
          <w:szCs w:val="24"/>
        </w:rPr>
      </w:pPr>
      <w:r w:rsidRPr="0069025F">
        <w:rPr>
          <w:rFonts w:ascii="Times New Roman" w:hAnsi="Times New Roman"/>
          <w:b/>
          <w:sz w:val="24"/>
          <w:szCs w:val="24"/>
        </w:rPr>
        <w:t>ORDERED FURTHER,</w:t>
      </w:r>
      <w:r w:rsidRPr="0069025F">
        <w:rPr>
          <w:rFonts w:ascii="Times New Roman" w:hAnsi="Times New Roman"/>
          <w:sz w:val="24"/>
          <w:szCs w:val="24"/>
        </w:rPr>
        <w:t xml:space="preserve"> that the Commission modifies the Company’s proposed revisions to not include the $1.159 billion contingency.  </w:t>
      </w:r>
    </w:p>
    <w:p w:rsidR="0069025F" w:rsidRPr="0069025F" w:rsidRDefault="0069025F" w:rsidP="0069025F">
      <w:pPr>
        <w:spacing w:line="240" w:lineRule="auto"/>
        <w:ind w:firstLine="720"/>
        <w:jc w:val="both"/>
        <w:rPr>
          <w:rFonts w:ascii="Times New Roman" w:hAnsi="Times New Roman"/>
          <w:sz w:val="24"/>
          <w:szCs w:val="24"/>
        </w:rPr>
      </w:pPr>
      <w:r w:rsidRPr="0069025F">
        <w:rPr>
          <w:rFonts w:ascii="Times New Roman" w:hAnsi="Times New Roman"/>
          <w:b/>
          <w:sz w:val="24"/>
          <w:szCs w:val="24"/>
        </w:rPr>
        <w:t>ORDERED FURTHER,</w:t>
      </w:r>
      <w:r w:rsidRPr="0069025F">
        <w:rPr>
          <w:rFonts w:ascii="Times New Roman" w:hAnsi="Times New Roman"/>
          <w:sz w:val="24"/>
          <w:szCs w:val="24"/>
        </w:rPr>
        <w:t xml:space="preserve"> that the Commission rejects the Company’s proposed condition that effectively restates, and possibly modifies, the terms of the SIR Stipulation adopted by the Commission on January 3, 2017.  The Commission adopts the Company’s proposed condition that affirms the terms of the SIR Stipulation.</w:t>
      </w:r>
    </w:p>
    <w:p w:rsidR="0069025F" w:rsidRPr="0069025F" w:rsidRDefault="0069025F" w:rsidP="0069025F">
      <w:pPr>
        <w:spacing w:line="240" w:lineRule="auto"/>
        <w:ind w:firstLine="720"/>
        <w:jc w:val="both"/>
        <w:rPr>
          <w:rFonts w:ascii="Times New Roman" w:hAnsi="Times New Roman"/>
          <w:bCs/>
          <w:sz w:val="24"/>
          <w:szCs w:val="24"/>
        </w:rPr>
      </w:pPr>
      <w:r w:rsidRPr="0069025F">
        <w:rPr>
          <w:rFonts w:ascii="Times New Roman" w:hAnsi="Times New Roman"/>
          <w:b/>
          <w:sz w:val="24"/>
          <w:szCs w:val="24"/>
        </w:rPr>
        <w:t>ORDERED FURTHER,</w:t>
      </w:r>
      <w:r w:rsidRPr="0069025F">
        <w:rPr>
          <w:rFonts w:ascii="Times New Roman" w:hAnsi="Times New Roman"/>
          <w:sz w:val="24"/>
          <w:szCs w:val="24"/>
        </w:rPr>
        <w:t xml:space="preserve"> that the Commission rejects the Co-Owner Agreement and finds that the Co-Owner Agreement is unacceptable as it </w:t>
      </w:r>
      <w:r w:rsidR="00264207" w:rsidRPr="00215B57">
        <w:rPr>
          <w:rFonts w:ascii="Times New Roman" w:hAnsi="Times New Roman"/>
          <w:sz w:val="24"/>
          <w:szCs w:val="24"/>
        </w:rPr>
        <w:t xml:space="preserve">impairs its obligation to discharge its public duty to provide </w:t>
      </w:r>
      <w:r w:rsidR="00264207">
        <w:rPr>
          <w:rFonts w:ascii="Times New Roman" w:hAnsi="Times New Roman"/>
          <w:sz w:val="24"/>
          <w:szCs w:val="24"/>
        </w:rPr>
        <w:t>just and reasonable</w:t>
      </w:r>
      <w:r w:rsidR="00264207" w:rsidRPr="00215B57">
        <w:rPr>
          <w:rFonts w:ascii="Times New Roman" w:hAnsi="Times New Roman"/>
          <w:sz w:val="24"/>
          <w:szCs w:val="24"/>
        </w:rPr>
        <w:t xml:space="preserve"> service</w:t>
      </w:r>
      <w:r w:rsidR="00264207">
        <w:rPr>
          <w:rFonts w:ascii="Times New Roman" w:hAnsi="Times New Roman"/>
          <w:sz w:val="24"/>
          <w:szCs w:val="24"/>
        </w:rPr>
        <w:t xml:space="preserve">. </w:t>
      </w:r>
      <w:r w:rsidRPr="0069025F">
        <w:rPr>
          <w:rFonts w:ascii="Times New Roman" w:hAnsi="Times New Roman"/>
          <w:sz w:val="24"/>
          <w:szCs w:val="24"/>
        </w:rPr>
        <w:t xml:space="preserve">The Commission’s determination of what costs are unreasonable did not consider the Co-Owner Agreement. </w:t>
      </w:r>
      <w:r w:rsidRPr="0069025F">
        <w:rPr>
          <w:rFonts w:ascii="Times New Roman" w:hAnsi="Times New Roman"/>
          <w:bCs/>
          <w:sz w:val="24"/>
          <w:szCs w:val="24"/>
        </w:rPr>
        <w:t xml:space="preserve"> </w:t>
      </w:r>
    </w:p>
    <w:p w:rsidR="0069025F" w:rsidRPr="0069025F" w:rsidRDefault="0069025F" w:rsidP="0069025F">
      <w:pPr>
        <w:spacing w:line="240" w:lineRule="auto"/>
        <w:ind w:firstLine="720"/>
        <w:jc w:val="both"/>
        <w:rPr>
          <w:rFonts w:ascii="Times New Roman" w:hAnsi="Times New Roman"/>
          <w:sz w:val="24"/>
          <w:szCs w:val="24"/>
        </w:rPr>
      </w:pPr>
      <w:r w:rsidRPr="0069025F">
        <w:rPr>
          <w:rFonts w:ascii="Times New Roman" w:hAnsi="Times New Roman"/>
          <w:b/>
          <w:bCs/>
          <w:sz w:val="24"/>
          <w:szCs w:val="24"/>
        </w:rPr>
        <w:t xml:space="preserve">ORDERED FURTHER, </w:t>
      </w:r>
      <w:r w:rsidRPr="0069025F">
        <w:rPr>
          <w:rFonts w:ascii="Times New Roman" w:hAnsi="Times New Roman"/>
          <w:sz w:val="24"/>
          <w:szCs w:val="24"/>
        </w:rPr>
        <w:t>that all findings, conclusions, statements, and directives made by the Commission and contained in the foregoing sections of this Order are hereby adopted as findings of fact, conclusions of law, statements of regulatory policy, and Orders of this Commission.</w:t>
      </w:r>
    </w:p>
    <w:p w:rsidR="0069025F" w:rsidRPr="0069025F" w:rsidRDefault="0069025F" w:rsidP="0069025F">
      <w:pPr>
        <w:spacing w:line="240" w:lineRule="auto"/>
        <w:ind w:firstLine="720"/>
        <w:jc w:val="both"/>
        <w:rPr>
          <w:rFonts w:ascii="Times New Roman" w:hAnsi="Times New Roman"/>
          <w:sz w:val="24"/>
          <w:szCs w:val="24"/>
        </w:rPr>
      </w:pPr>
      <w:r w:rsidRPr="0069025F">
        <w:rPr>
          <w:rFonts w:ascii="Times New Roman" w:hAnsi="Times New Roman"/>
          <w:b/>
          <w:bCs/>
          <w:sz w:val="24"/>
          <w:szCs w:val="24"/>
        </w:rPr>
        <w:t>ORDERED FURTHER,</w:t>
      </w:r>
      <w:r w:rsidRPr="0069025F">
        <w:rPr>
          <w:rFonts w:ascii="Times New Roman" w:hAnsi="Times New Roman"/>
          <w:sz w:val="24"/>
          <w:szCs w:val="24"/>
        </w:rPr>
        <w:t xml:space="preserve"> that a motion for reconsideration, rehearing, or oral argument or any other motion shall not stay the effective date of this Order, unless otherwise ordered by the Commission.</w:t>
      </w:r>
    </w:p>
    <w:p w:rsidR="0069025F" w:rsidRPr="0069025F" w:rsidRDefault="0069025F" w:rsidP="0069025F">
      <w:pPr>
        <w:spacing w:line="240" w:lineRule="auto"/>
        <w:ind w:firstLine="720"/>
        <w:jc w:val="both"/>
        <w:rPr>
          <w:rFonts w:ascii="Times New Roman" w:hAnsi="Times New Roman"/>
          <w:sz w:val="24"/>
          <w:szCs w:val="24"/>
        </w:rPr>
      </w:pPr>
      <w:r w:rsidRPr="0069025F">
        <w:rPr>
          <w:rFonts w:ascii="Times New Roman" w:hAnsi="Times New Roman"/>
          <w:b/>
          <w:bCs/>
          <w:sz w:val="24"/>
          <w:szCs w:val="24"/>
        </w:rPr>
        <w:t>ORDERED FURTHER,</w:t>
      </w:r>
      <w:r w:rsidRPr="0069025F">
        <w:rPr>
          <w:rFonts w:ascii="Times New Roman" w:hAnsi="Times New Roman"/>
          <w:sz w:val="24"/>
          <w:szCs w:val="24"/>
        </w:rPr>
        <w:t xml:space="preserve"> that jurisdiction over these matters is expressly retained for the purpose of entering </w:t>
      </w:r>
      <w:bookmarkStart w:id="0" w:name="_GoBack"/>
      <w:bookmarkEnd w:id="0"/>
      <w:r w:rsidRPr="0069025F">
        <w:rPr>
          <w:rFonts w:ascii="Times New Roman" w:hAnsi="Times New Roman"/>
          <w:sz w:val="24"/>
          <w:szCs w:val="24"/>
        </w:rPr>
        <w:t>such further Order or Orders as this Commission may deem just and proper.</w:t>
      </w:r>
    </w:p>
    <w:p w:rsidR="0069025F" w:rsidRPr="0069025F" w:rsidRDefault="0069025F" w:rsidP="0069025F">
      <w:pPr>
        <w:spacing w:line="240" w:lineRule="auto"/>
        <w:ind w:firstLine="720"/>
        <w:jc w:val="both"/>
        <w:rPr>
          <w:rFonts w:ascii="Times New Roman" w:hAnsi="Times New Roman"/>
          <w:sz w:val="24"/>
          <w:szCs w:val="24"/>
        </w:rPr>
      </w:pPr>
      <w:r w:rsidRPr="0069025F">
        <w:rPr>
          <w:rFonts w:ascii="Times New Roman" w:hAnsi="Times New Roman"/>
          <w:sz w:val="24"/>
          <w:szCs w:val="24"/>
        </w:rPr>
        <w:t>The above by action of the Commission in its Special Administrative Session on the 21st day of December, 2017.</w:t>
      </w:r>
    </w:p>
    <w:p w:rsidR="0069025F" w:rsidRPr="0069025F" w:rsidRDefault="0069025F" w:rsidP="0069025F">
      <w:pPr>
        <w:spacing w:line="240" w:lineRule="auto"/>
        <w:jc w:val="both"/>
        <w:rPr>
          <w:rFonts w:ascii="Times New Roman" w:hAnsi="Times New Roman"/>
          <w:sz w:val="24"/>
          <w:szCs w:val="24"/>
        </w:rPr>
      </w:pPr>
    </w:p>
    <w:p w:rsidR="0069025F" w:rsidRPr="0069025F" w:rsidRDefault="0069025F" w:rsidP="0069025F">
      <w:pPr>
        <w:spacing w:line="240" w:lineRule="auto"/>
        <w:contextualSpacing/>
        <w:jc w:val="both"/>
        <w:rPr>
          <w:rFonts w:ascii="Times New Roman" w:hAnsi="Times New Roman"/>
          <w:sz w:val="24"/>
          <w:szCs w:val="24"/>
        </w:rPr>
      </w:pPr>
      <w:r w:rsidRPr="0069025F">
        <w:rPr>
          <w:rFonts w:ascii="Times New Roman" w:hAnsi="Times New Roman"/>
          <w:sz w:val="24"/>
          <w:szCs w:val="24"/>
        </w:rPr>
        <w:t>_____________________________                    </w:t>
      </w:r>
      <w:r w:rsidRPr="0069025F">
        <w:rPr>
          <w:rFonts w:ascii="Times New Roman" w:hAnsi="Times New Roman"/>
          <w:sz w:val="24"/>
          <w:szCs w:val="24"/>
        </w:rPr>
        <w:tab/>
        <w:t>______________________________</w:t>
      </w:r>
    </w:p>
    <w:p w:rsidR="0069025F" w:rsidRPr="0069025F" w:rsidRDefault="0069025F" w:rsidP="0069025F">
      <w:pPr>
        <w:spacing w:line="240" w:lineRule="auto"/>
        <w:contextualSpacing/>
        <w:jc w:val="both"/>
        <w:rPr>
          <w:rFonts w:ascii="Times New Roman" w:hAnsi="Times New Roman"/>
          <w:sz w:val="24"/>
          <w:szCs w:val="24"/>
        </w:rPr>
      </w:pPr>
      <w:r w:rsidRPr="0069025F">
        <w:rPr>
          <w:rFonts w:ascii="Times New Roman" w:hAnsi="Times New Roman"/>
          <w:sz w:val="24"/>
          <w:szCs w:val="24"/>
        </w:rPr>
        <w:t>Reece McAlister  </w:t>
      </w:r>
      <w:r w:rsidRPr="0069025F">
        <w:rPr>
          <w:rFonts w:ascii="Times New Roman" w:hAnsi="Times New Roman"/>
          <w:sz w:val="24"/>
          <w:szCs w:val="24"/>
        </w:rPr>
        <w:tab/>
      </w:r>
      <w:r w:rsidRPr="0069025F">
        <w:rPr>
          <w:rFonts w:ascii="Times New Roman" w:hAnsi="Times New Roman"/>
          <w:sz w:val="24"/>
          <w:szCs w:val="24"/>
        </w:rPr>
        <w:tab/>
      </w:r>
      <w:r w:rsidRPr="0069025F">
        <w:rPr>
          <w:rFonts w:ascii="Times New Roman" w:hAnsi="Times New Roman"/>
          <w:sz w:val="24"/>
          <w:szCs w:val="24"/>
        </w:rPr>
        <w:tab/>
        <w:t xml:space="preserve">                  </w:t>
      </w:r>
      <w:r w:rsidRPr="0069025F">
        <w:rPr>
          <w:rFonts w:ascii="Times New Roman" w:hAnsi="Times New Roman"/>
          <w:sz w:val="24"/>
          <w:szCs w:val="24"/>
        </w:rPr>
        <w:tab/>
        <w:t>Stan Wise                              </w:t>
      </w:r>
      <w:r w:rsidRPr="0069025F">
        <w:rPr>
          <w:rFonts w:ascii="Times New Roman" w:hAnsi="Times New Roman"/>
          <w:sz w:val="24"/>
          <w:szCs w:val="24"/>
        </w:rPr>
        <w:tab/>
        <w:t xml:space="preserve"> </w:t>
      </w:r>
    </w:p>
    <w:p w:rsidR="0069025F" w:rsidRPr="0069025F" w:rsidRDefault="0069025F" w:rsidP="0069025F">
      <w:pPr>
        <w:spacing w:line="240" w:lineRule="auto"/>
        <w:contextualSpacing/>
        <w:jc w:val="both"/>
        <w:rPr>
          <w:rFonts w:ascii="Times New Roman" w:hAnsi="Times New Roman"/>
          <w:sz w:val="24"/>
          <w:szCs w:val="24"/>
        </w:rPr>
      </w:pPr>
      <w:r w:rsidRPr="0069025F">
        <w:rPr>
          <w:rFonts w:ascii="Times New Roman" w:hAnsi="Times New Roman"/>
          <w:sz w:val="24"/>
          <w:szCs w:val="24"/>
        </w:rPr>
        <w:t>Executive Secretary                                                 </w:t>
      </w:r>
      <w:r w:rsidRPr="0069025F">
        <w:rPr>
          <w:rFonts w:ascii="Times New Roman" w:hAnsi="Times New Roman"/>
          <w:sz w:val="24"/>
          <w:szCs w:val="24"/>
        </w:rPr>
        <w:tab/>
        <w:t>Chairman</w:t>
      </w:r>
    </w:p>
    <w:p w:rsidR="0069025F" w:rsidRPr="0069025F" w:rsidRDefault="0069025F" w:rsidP="0069025F">
      <w:pPr>
        <w:spacing w:line="240" w:lineRule="auto"/>
        <w:contextualSpacing/>
        <w:jc w:val="both"/>
        <w:rPr>
          <w:rFonts w:ascii="Times New Roman" w:hAnsi="Times New Roman"/>
          <w:sz w:val="24"/>
          <w:szCs w:val="24"/>
        </w:rPr>
      </w:pPr>
    </w:p>
    <w:p w:rsidR="0069025F" w:rsidRPr="0069025F" w:rsidRDefault="0069025F" w:rsidP="0069025F">
      <w:pPr>
        <w:spacing w:line="240" w:lineRule="auto"/>
        <w:contextualSpacing/>
        <w:jc w:val="both"/>
        <w:rPr>
          <w:rFonts w:ascii="Times New Roman" w:hAnsi="Times New Roman"/>
          <w:sz w:val="24"/>
          <w:szCs w:val="24"/>
        </w:rPr>
      </w:pPr>
    </w:p>
    <w:p w:rsidR="0069025F" w:rsidRPr="0069025F" w:rsidRDefault="0069025F" w:rsidP="0069025F">
      <w:pPr>
        <w:spacing w:line="240" w:lineRule="auto"/>
        <w:contextualSpacing/>
        <w:jc w:val="both"/>
        <w:rPr>
          <w:rFonts w:ascii="Times New Roman" w:hAnsi="Times New Roman"/>
          <w:sz w:val="24"/>
          <w:szCs w:val="24"/>
        </w:rPr>
      </w:pPr>
      <w:r w:rsidRPr="0069025F">
        <w:rPr>
          <w:rFonts w:ascii="Times New Roman" w:hAnsi="Times New Roman"/>
          <w:sz w:val="24"/>
          <w:szCs w:val="24"/>
        </w:rPr>
        <w:t>______________________________                        ______________________________</w:t>
      </w:r>
    </w:p>
    <w:p w:rsidR="0069025F" w:rsidRPr="0069025F" w:rsidRDefault="0069025F" w:rsidP="0069025F">
      <w:pPr>
        <w:spacing w:line="240" w:lineRule="auto"/>
        <w:contextualSpacing/>
        <w:jc w:val="both"/>
        <w:rPr>
          <w:rFonts w:ascii="Times New Roman" w:hAnsi="Times New Roman"/>
          <w:sz w:val="24"/>
          <w:szCs w:val="24"/>
        </w:rPr>
      </w:pPr>
      <w:r w:rsidRPr="0069025F">
        <w:rPr>
          <w:rFonts w:ascii="Times New Roman" w:hAnsi="Times New Roman"/>
          <w:sz w:val="24"/>
          <w:szCs w:val="24"/>
        </w:rPr>
        <w:t>Date                                                                     </w:t>
      </w:r>
      <w:r w:rsidRPr="0069025F">
        <w:rPr>
          <w:rFonts w:ascii="Times New Roman" w:hAnsi="Times New Roman"/>
          <w:sz w:val="24"/>
          <w:szCs w:val="24"/>
        </w:rPr>
        <w:tab/>
        <w:t>Date</w:t>
      </w:r>
    </w:p>
    <w:p w:rsidR="0069025F" w:rsidRDefault="0069025F" w:rsidP="0069025F">
      <w:pPr>
        <w:spacing w:line="240" w:lineRule="auto"/>
      </w:pPr>
    </w:p>
    <w:p w:rsidR="008D507A" w:rsidRPr="000617EB" w:rsidRDefault="008D507A" w:rsidP="0069025F">
      <w:pPr>
        <w:spacing w:line="240" w:lineRule="auto"/>
        <w:rPr>
          <w:rFonts w:ascii="Times New Roman" w:hAnsi="Times New Roman"/>
          <w:sz w:val="24"/>
          <w:szCs w:val="24"/>
        </w:rPr>
      </w:pPr>
    </w:p>
    <w:sectPr w:rsidR="008D507A" w:rsidRPr="000617EB" w:rsidSect="000F785F">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679619" w15:done="0"/>
  <w15:commentEx w15:paraId="3A4D4746" w15:done="0"/>
  <w15:commentEx w15:paraId="41B42ABC" w15:done="0"/>
  <w15:commentEx w15:paraId="1D1A6712" w15:done="0"/>
  <w15:commentEx w15:paraId="5A65E834" w15:done="0"/>
  <w15:commentEx w15:paraId="40F2ADBF" w15:done="0"/>
  <w15:commentEx w15:paraId="493565CA" w15:done="0"/>
  <w15:commentEx w15:paraId="5797F04C" w15:done="0"/>
  <w15:commentEx w15:paraId="51DC4DC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6BA" w:rsidRDefault="00CF16BA" w:rsidP="008D507A">
      <w:pPr>
        <w:spacing w:after="0" w:line="240" w:lineRule="auto"/>
      </w:pPr>
      <w:r>
        <w:separator/>
      </w:r>
    </w:p>
  </w:endnote>
  <w:endnote w:type="continuationSeparator" w:id="0">
    <w:p w:rsidR="00CF16BA" w:rsidRDefault="00CF16BA" w:rsidP="008D50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462420918"/>
      <w:docPartObj>
        <w:docPartGallery w:val="Page Numbers (Bottom of Page)"/>
        <w:docPartUnique/>
      </w:docPartObj>
    </w:sdtPr>
    <w:sdtContent>
      <w:sdt>
        <w:sdtPr>
          <w:rPr>
            <w:rFonts w:ascii="Times New Roman" w:hAnsi="Times New Roman"/>
          </w:rPr>
          <w:id w:val="98381352"/>
          <w:docPartObj>
            <w:docPartGallery w:val="Page Numbers (Top of Page)"/>
            <w:docPartUnique/>
          </w:docPartObj>
        </w:sdtPr>
        <w:sdtContent>
          <w:p w:rsidR="00D835A6" w:rsidRPr="00D835A6" w:rsidRDefault="00D835A6" w:rsidP="00D835A6">
            <w:pPr>
              <w:pStyle w:val="Footer"/>
              <w:jc w:val="center"/>
              <w:rPr>
                <w:rFonts w:ascii="Times New Roman" w:hAnsi="Times New Roman"/>
              </w:rPr>
            </w:pPr>
            <w:r w:rsidRPr="00D835A6">
              <w:rPr>
                <w:rFonts w:ascii="Times New Roman" w:hAnsi="Times New Roman"/>
              </w:rPr>
              <w:t>Docket No. 29849</w:t>
            </w:r>
          </w:p>
          <w:p w:rsidR="00D835A6" w:rsidRPr="00D835A6" w:rsidRDefault="00D835A6" w:rsidP="00D835A6">
            <w:pPr>
              <w:pStyle w:val="Footer"/>
              <w:jc w:val="center"/>
              <w:rPr>
                <w:rFonts w:ascii="Times New Roman" w:hAnsi="Times New Roman"/>
              </w:rPr>
            </w:pPr>
            <w:r w:rsidRPr="00D835A6">
              <w:rPr>
                <w:rFonts w:ascii="Times New Roman" w:hAnsi="Times New Roman"/>
              </w:rPr>
              <w:t>Proposed Order of the Public Interest Advocacy Staff</w:t>
            </w:r>
          </w:p>
          <w:p w:rsidR="00D835A6" w:rsidRPr="00D835A6" w:rsidRDefault="00D835A6" w:rsidP="00D835A6">
            <w:pPr>
              <w:pStyle w:val="Footer"/>
              <w:jc w:val="center"/>
              <w:rPr>
                <w:rFonts w:ascii="Times New Roman" w:hAnsi="Times New Roman"/>
              </w:rPr>
            </w:pPr>
            <w:r w:rsidRPr="00D835A6">
              <w:rPr>
                <w:rFonts w:ascii="Times New Roman" w:hAnsi="Times New Roman"/>
              </w:rPr>
              <w:t xml:space="preserve">Page </w:t>
            </w:r>
            <w:r w:rsidR="003A2EDB" w:rsidRPr="00D835A6">
              <w:rPr>
                <w:rFonts w:ascii="Times New Roman" w:hAnsi="Times New Roman"/>
                <w:b/>
                <w:bCs/>
                <w:sz w:val="24"/>
                <w:szCs w:val="24"/>
              </w:rPr>
              <w:fldChar w:fldCharType="begin"/>
            </w:r>
            <w:r w:rsidRPr="00D835A6">
              <w:rPr>
                <w:rFonts w:ascii="Times New Roman" w:hAnsi="Times New Roman"/>
                <w:b/>
                <w:bCs/>
              </w:rPr>
              <w:instrText xml:space="preserve"> PAGE </w:instrText>
            </w:r>
            <w:r w:rsidR="003A2EDB" w:rsidRPr="00D835A6">
              <w:rPr>
                <w:rFonts w:ascii="Times New Roman" w:hAnsi="Times New Roman"/>
                <w:b/>
                <w:bCs/>
                <w:sz w:val="24"/>
                <w:szCs w:val="24"/>
              </w:rPr>
              <w:fldChar w:fldCharType="separate"/>
            </w:r>
            <w:r w:rsidR="00CF16BA">
              <w:rPr>
                <w:rFonts w:ascii="Times New Roman" w:hAnsi="Times New Roman"/>
                <w:b/>
                <w:bCs/>
                <w:noProof/>
              </w:rPr>
              <w:t>1</w:t>
            </w:r>
            <w:r w:rsidR="003A2EDB" w:rsidRPr="00D835A6">
              <w:rPr>
                <w:rFonts w:ascii="Times New Roman" w:hAnsi="Times New Roman"/>
                <w:b/>
                <w:bCs/>
                <w:sz w:val="24"/>
                <w:szCs w:val="24"/>
              </w:rPr>
              <w:fldChar w:fldCharType="end"/>
            </w:r>
            <w:r w:rsidRPr="00D835A6">
              <w:rPr>
                <w:rFonts w:ascii="Times New Roman" w:hAnsi="Times New Roman"/>
              </w:rPr>
              <w:t xml:space="preserve"> of </w:t>
            </w:r>
            <w:r w:rsidR="003A2EDB" w:rsidRPr="00D835A6">
              <w:rPr>
                <w:rFonts w:ascii="Times New Roman" w:hAnsi="Times New Roman"/>
                <w:b/>
                <w:bCs/>
                <w:sz w:val="24"/>
                <w:szCs w:val="24"/>
              </w:rPr>
              <w:fldChar w:fldCharType="begin"/>
            </w:r>
            <w:r w:rsidRPr="00D835A6">
              <w:rPr>
                <w:rFonts w:ascii="Times New Roman" w:hAnsi="Times New Roman"/>
                <w:b/>
                <w:bCs/>
              </w:rPr>
              <w:instrText xml:space="preserve"> NUMPAGES  </w:instrText>
            </w:r>
            <w:r w:rsidR="003A2EDB" w:rsidRPr="00D835A6">
              <w:rPr>
                <w:rFonts w:ascii="Times New Roman" w:hAnsi="Times New Roman"/>
                <w:b/>
                <w:bCs/>
                <w:sz w:val="24"/>
                <w:szCs w:val="24"/>
              </w:rPr>
              <w:fldChar w:fldCharType="separate"/>
            </w:r>
            <w:r w:rsidR="00CF16BA">
              <w:rPr>
                <w:rFonts w:ascii="Times New Roman" w:hAnsi="Times New Roman"/>
                <w:b/>
                <w:bCs/>
                <w:noProof/>
              </w:rPr>
              <w:t>1</w:t>
            </w:r>
            <w:r w:rsidR="003A2EDB" w:rsidRPr="00D835A6">
              <w:rPr>
                <w:rFonts w:ascii="Times New Roman" w:hAnsi="Times New Roman"/>
                <w:b/>
                <w:bCs/>
                <w:sz w:val="24"/>
                <w:szCs w:val="24"/>
              </w:rPr>
              <w:fldChar w:fldCharType="end"/>
            </w:r>
          </w:p>
        </w:sdtContent>
      </w:sdt>
    </w:sdtContent>
  </w:sdt>
  <w:p w:rsidR="00D835A6" w:rsidRDefault="00D835A6" w:rsidP="00D835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6BA" w:rsidRDefault="00CF16BA" w:rsidP="008D507A">
      <w:pPr>
        <w:spacing w:after="0" w:line="240" w:lineRule="auto"/>
      </w:pPr>
      <w:r>
        <w:separator/>
      </w:r>
    </w:p>
  </w:footnote>
  <w:footnote w:type="continuationSeparator" w:id="0">
    <w:p w:rsidR="00CF16BA" w:rsidRDefault="00CF16BA" w:rsidP="008D50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96843"/>
    <w:multiLevelType w:val="multilevel"/>
    <w:tmpl w:val="60D06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9F548A"/>
    <w:multiLevelType w:val="multilevel"/>
    <w:tmpl w:val="17DE1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147A56"/>
    <w:multiLevelType w:val="multilevel"/>
    <w:tmpl w:val="3036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604BCD"/>
    <w:multiLevelType w:val="hybridMultilevel"/>
    <w:tmpl w:val="7A5A6454"/>
    <w:lvl w:ilvl="0" w:tplc="10169726">
      <w:start w:val="1"/>
      <w:numFmt w:val="decimal"/>
      <w:lvlText w:val="%1."/>
      <w:lvlJc w:val="left"/>
      <w:pPr>
        <w:tabs>
          <w:tab w:val="num" w:pos="1440"/>
        </w:tabs>
        <w:ind w:left="1440" w:hanging="720"/>
      </w:pPr>
      <w:rPr>
        <w:rFonts w:hint="default"/>
        <w:color w:val="auto"/>
      </w:rPr>
    </w:lvl>
    <w:lvl w:ilvl="1" w:tplc="376A33C8">
      <w:start w:val="17"/>
      <w:numFmt w:val="upperLetter"/>
      <w:lvlText w:val="%2."/>
      <w:lvlJc w:val="left"/>
      <w:pPr>
        <w:tabs>
          <w:tab w:val="num" w:pos="1890"/>
        </w:tabs>
        <w:ind w:left="1890" w:hanging="720"/>
      </w:pPr>
      <w:rPr>
        <w:rFonts w:hint="default"/>
      </w:rPr>
    </w:lvl>
    <w:lvl w:ilvl="2" w:tplc="C8A014CE">
      <w:start w:val="17"/>
      <w:numFmt w:val="lowerLetter"/>
      <w:lvlText w:val="%3."/>
      <w:lvlJc w:val="left"/>
      <w:pPr>
        <w:tabs>
          <w:tab w:val="num" w:pos="2430"/>
        </w:tabs>
        <w:ind w:left="2430" w:hanging="360"/>
      </w:pPr>
      <w:rPr>
        <w:rFonts w:hint="default"/>
      </w:rPr>
    </w:lvl>
    <w:lvl w:ilvl="3" w:tplc="99DE4BEE">
      <w:start w:val="6"/>
      <w:numFmt w:val="upperRoman"/>
      <w:lvlText w:val="%4."/>
      <w:lvlJc w:val="left"/>
      <w:pPr>
        <w:tabs>
          <w:tab w:val="num" w:pos="3330"/>
        </w:tabs>
        <w:ind w:left="3330" w:hanging="720"/>
      </w:pPr>
      <w:rPr>
        <w:rFonts w:hint="default"/>
      </w:rPr>
    </w:lvl>
    <w:lvl w:ilvl="4" w:tplc="76C85DFC">
      <w:start w:val="1"/>
      <w:numFmt w:val="lowerLetter"/>
      <w:lvlText w:val="%5."/>
      <w:lvlJc w:val="left"/>
      <w:pPr>
        <w:tabs>
          <w:tab w:val="num" w:pos="3690"/>
        </w:tabs>
        <w:ind w:left="3690" w:hanging="360"/>
      </w:pPr>
    </w:lvl>
    <w:lvl w:ilvl="5" w:tplc="1AC8EA2A">
      <w:start w:val="1"/>
      <w:numFmt w:val="lowerRoman"/>
      <w:lvlText w:val="%6."/>
      <w:lvlJc w:val="right"/>
      <w:pPr>
        <w:tabs>
          <w:tab w:val="num" w:pos="4410"/>
        </w:tabs>
        <w:ind w:left="4410" w:hanging="180"/>
      </w:pPr>
    </w:lvl>
    <w:lvl w:ilvl="6" w:tplc="DA4C3B56">
      <w:start w:val="1"/>
      <w:numFmt w:val="decimal"/>
      <w:lvlText w:val="%7."/>
      <w:lvlJc w:val="left"/>
      <w:pPr>
        <w:tabs>
          <w:tab w:val="num" w:pos="5130"/>
        </w:tabs>
        <w:ind w:left="5130" w:hanging="360"/>
      </w:pPr>
    </w:lvl>
    <w:lvl w:ilvl="7" w:tplc="DCCAE94E">
      <w:start w:val="1"/>
      <w:numFmt w:val="lowerLetter"/>
      <w:lvlText w:val="%8."/>
      <w:lvlJc w:val="left"/>
      <w:pPr>
        <w:tabs>
          <w:tab w:val="num" w:pos="5850"/>
        </w:tabs>
        <w:ind w:left="5850" w:hanging="360"/>
      </w:pPr>
    </w:lvl>
    <w:lvl w:ilvl="8" w:tplc="1DE41668">
      <w:start w:val="1"/>
      <w:numFmt w:val="lowerRoman"/>
      <w:lvlText w:val="%9."/>
      <w:lvlJc w:val="right"/>
      <w:pPr>
        <w:tabs>
          <w:tab w:val="num" w:pos="6570"/>
        </w:tabs>
        <w:ind w:left="6570" w:hanging="180"/>
      </w:pPr>
    </w:lvl>
  </w:abstractNum>
  <w:abstractNum w:abstractNumId="4">
    <w:nsid w:val="65E26689"/>
    <w:multiLevelType w:val="multilevel"/>
    <w:tmpl w:val="C812D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C63493"/>
    <w:multiLevelType w:val="hybridMultilevel"/>
    <w:tmpl w:val="F7A2B22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ve Roetger">
    <w15:presenceInfo w15:providerId="AD" w15:userId="S-1-5-21-1105876115-149568868-3051249746-205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savePreviewPicture/>
  <w:footnotePr>
    <w:footnote w:id="-1"/>
    <w:footnote w:id="0"/>
  </w:footnotePr>
  <w:endnotePr>
    <w:endnote w:id="-1"/>
    <w:endnote w:id="0"/>
  </w:endnotePr>
  <w:compat/>
  <w:rsids>
    <w:rsidRoot w:val="000617EB"/>
    <w:rsid w:val="0000138E"/>
    <w:rsid w:val="000022AD"/>
    <w:rsid w:val="000027B7"/>
    <w:rsid w:val="000036DE"/>
    <w:rsid w:val="00004F7A"/>
    <w:rsid w:val="00006E67"/>
    <w:rsid w:val="00007DB6"/>
    <w:rsid w:val="000133F8"/>
    <w:rsid w:val="00013DB4"/>
    <w:rsid w:val="0001638C"/>
    <w:rsid w:val="000201E0"/>
    <w:rsid w:val="0002081D"/>
    <w:rsid w:val="000245E4"/>
    <w:rsid w:val="00024BFD"/>
    <w:rsid w:val="00024D8F"/>
    <w:rsid w:val="00025094"/>
    <w:rsid w:val="00026E76"/>
    <w:rsid w:val="00033126"/>
    <w:rsid w:val="00033542"/>
    <w:rsid w:val="00035261"/>
    <w:rsid w:val="00036102"/>
    <w:rsid w:val="000412A4"/>
    <w:rsid w:val="000437A0"/>
    <w:rsid w:val="00047B01"/>
    <w:rsid w:val="000503A7"/>
    <w:rsid w:val="00050491"/>
    <w:rsid w:val="000504A8"/>
    <w:rsid w:val="00050FFA"/>
    <w:rsid w:val="00053AA7"/>
    <w:rsid w:val="00053AC5"/>
    <w:rsid w:val="00053DB7"/>
    <w:rsid w:val="00056CDD"/>
    <w:rsid w:val="000617EB"/>
    <w:rsid w:val="000631FB"/>
    <w:rsid w:val="0006468E"/>
    <w:rsid w:val="000674B6"/>
    <w:rsid w:val="00072894"/>
    <w:rsid w:val="000736D7"/>
    <w:rsid w:val="000746B8"/>
    <w:rsid w:val="00074F33"/>
    <w:rsid w:val="0007580F"/>
    <w:rsid w:val="0008072E"/>
    <w:rsid w:val="00080FAC"/>
    <w:rsid w:val="00081CF0"/>
    <w:rsid w:val="000843FE"/>
    <w:rsid w:val="000852ED"/>
    <w:rsid w:val="00087664"/>
    <w:rsid w:val="00087F66"/>
    <w:rsid w:val="0009031E"/>
    <w:rsid w:val="00091523"/>
    <w:rsid w:val="00093F25"/>
    <w:rsid w:val="000971D9"/>
    <w:rsid w:val="000A0677"/>
    <w:rsid w:val="000A42FB"/>
    <w:rsid w:val="000A4865"/>
    <w:rsid w:val="000A6062"/>
    <w:rsid w:val="000A6186"/>
    <w:rsid w:val="000A641A"/>
    <w:rsid w:val="000B0A9C"/>
    <w:rsid w:val="000B1B12"/>
    <w:rsid w:val="000B5D82"/>
    <w:rsid w:val="000B6F7F"/>
    <w:rsid w:val="000C01A4"/>
    <w:rsid w:val="000C2272"/>
    <w:rsid w:val="000C4886"/>
    <w:rsid w:val="000D0C75"/>
    <w:rsid w:val="000D51A3"/>
    <w:rsid w:val="000D6B94"/>
    <w:rsid w:val="000E1EBA"/>
    <w:rsid w:val="000E22DD"/>
    <w:rsid w:val="000E2486"/>
    <w:rsid w:val="000E358B"/>
    <w:rsid w:val="000E4D34"/>
    <w:rsid w:val="000E54CD"/>
    <w:rsid w:val="000E6E1D"/>
    <w:rsid w:val="000F3113"/>
    <w:rsid w:val="000F4C71"/>
    <w:rsid w:val="000F785F"/>
    <w:rsid w:val="001028FD"/>
    <w:rsid w:val="001055AE"/>
    <w:rsid w:val="001068BA"/>
    <w:rsid w:val="00106BF2"/>
    <w:rsid w:val="00112A3F"/>
    <w:rsid w:val="00113F06"/>
    <w:rsid w:val="00115006"/>
    <w:rsid w:val="00116D6C"/>
    <w:rsid w:val="00116E04"/>
    <w:rsid w:val="00121CF6"/>
    <w:rsid w:val="00122E9A"/>
    <w:rsid w:val="00126B44"/>
    <w:rsid w:val="0013088A"/>
    <w:rsid w:val="00133877"/>
    <w:rsid w:val="00135A8D"/>
    <w:rsid w:val="00136BF2"/>
    <w:rsid w:val="001400FD"/>
    <w:rsid w:val="00143367"/>
    <w:rsid w:val="001441DB"/>
    <w:rsid w:val="00147457"/>
    <w:rsid w:val="00147E8F"/>
    <w:rsid w:val="001514D5"/>
    <w:rsid w:val="001519D0"/>
    <w:rsid w:val="001524E7"/>
    <w:rsid w:val="001537C2"/>
    <w:rsid w:val="001562B7"/>
    <w:rsid w:val="001576D3"/>
    <w:rsid w:val="001634FA"/>
    <w:rsid w:val="0016414A"/>
    <w:rsid w:val="00167AAE"/>
    <w:rsid w:val="00170AAA"/>
    <w:rsid w:val="00170D2A"/>
    <w:rsid w:val="00170DB4"/>
    <w:rsid w:val="00174365"/>
    <w:rsid w:val="00174537"/>
    <w:rsid w:val="001822B6"/>
    <w:rsid w:val="001908CB"/>
    <w:rsid w:val="00194C79"/>
    <w:rsid w:val="001A0BEE"/>
    <w:rsid w:val="001A4A2F"/>
    <w:rsid w:val="001A7187"/>
    <w:rsid w:val="001B28BA"/>
    <w:rsid w:val="001B2EC8"/>
    <w:rsid w:val="001B3A66"/>
    <w:rsid w:val="001B7342"/>
    <w:rsid w:val="001C247A"/>
    <w:rsid w:val="001C28C6"/>
    <w:rsid w:val="001C3275"/>
    <w:rsid w:val="001C77F8"/>
    <w:rsid w:val="001C7E8F"/>
    <w:rsid w:val="001D1082"/>
    <w:rsid w:val="001D6F7F"/>
    <w:rsid w:val="001E131D"/>
    <w:rsid w:val="001E2963"/>
    <w:rsid w:val="001E518C"/>
    <w:rsid w:val="001E613E"/>
    <w:rsid w:val="001E7443"/>
    <w:rsid w:val="001E7642"/>
    <w:rsid w:val="001F0757"/>
    <w:rsid w:val="001F2E93"/>
    <w:rsid w:val="001F4814"/>
    <w:rsid w:val="001F4B90"/>
    <w:rsid w:val="001F5301"/>
    <w:rsid w:val="001F5870"/>
    <w:rsid w:val="001F7C0B"/>
    <w:rsid w:val="00203AE3"/>
    <w:rsid w:val="002040C2"/>
    <w:rsid w:val="0020618B"/>
    <w:rsid w:val="00210CD2"/>
    <w:rsid w:val="00210E17"/>
    <w:rsid w:val="002112BB"/>
    <w:rsid w:val="00213E6F"/>
    <w:rsid w:val="00213E85"/>
    <w:rsid w:val="00214B90"/>
    <w:rsid w:val="00215B57"/>
    <w:rsid w:val="00215D3A"/>
    <w:rsid w:val="00216411"/>
    <w:rsid w:val="00220A2F"/>
    <w:rsid w:val="002236B7"/>
    <w:rsid w:val="00225F7C"/>
    <w:rsid w:val="00230395"/>
    <w:rsid w:val="00230423"/>
    <w:rsid w:val="00230A21"/>
    <w:rsid w:val="002319A6"/>
    <w:rsid w:val="002323B3"/>
    <w:rsid w:val="00235023"/>
    <w:rsid w:val="0023589F"/>
    <w:rsid w:val="00235B31"/>
    <w:rsid w:val="0024192B"/>
    <w:rsid w:val="00241B86"/>
    <w:rsid w:val="00242CDB"/>
    <w:rsid w:val="00242D9F"/>
    <w:rsid w:val="00243D6B"/>
    <w:rsid w:val="002452B6"/>
    <w:rsid w:val="00245DF3"/>
    <w:rsid w:val="00245E35"/>
    <w:rsid w:val="0025016E"/>
    <w:rsid w:val="00252BDE"/>
    <w:rsid w:val="002545E9"/>
    <w:rsid w:val="002571AF"/>
    <w:rsid w:val="00261870"/>
    <w:rsid w:val="00262C68"/>
    <w:rsid w:val="00263187"/>
    <w:rsid w:val="00264207"/>
    <w:rsid w:val="00267510"/>
    <w:rsid w:val="00267F32"/>
    <w:rsid w:val="0027097D"/>
    <w:rsid w:val="00273B46"/>
    <w:rsid w:val="0027436B"/>
    <w:rsid w:val="00275E28"/>
    <w:rsid w:val="0027761A"/>
    <w:rsid w:val="00280181"/>
    <w:rsid w:val="00282BFF"/>
    <w:rsid w:val="00283981"/>
    <w:rsid w:val="00285FEE"/>
    <w:rsid w:val="00286EA2"/>
    <w:rsid w:val="0029104D"/>
    <w:rsid w:val="00293EBD"/>
    <w:rsid w:val="0029401F"/>
    <w:rsid w:val="00295224"/>
    <w:rsid w:val="002A1464"/>
    <w:rsid w:val="002A39D7"/>
    <w:rsid w:val="002A48F3"/>
    <w:rsid w:val="002A6ABD"/>
    <w:rsid w:val="002B1BA8"/>
    <w:rsid w:val="002B55A5"/>
    <w:rsid w:val="002B6335"/>
    <w:rsid w:val="002B7EE1"/>
    <w:rsid w:val="002C530F"/>
    <w:rsid w:val="002C61DB"/>
    <w:rsid w:val="002C6940"/>
    <w:rsid w:val="002C7F2B"/>
    <w:rsid w:val="002D1060"/>
    <w:rsid w:val="002D13C3"/>
    <w:rsid w:val="002D1DEA"/>
    <w:rsid w:val="002D43BE"/>
    <w:rsid w:val="002D4B9C"/>
    <w:rsid w:val="002D7170"/>
    <w:rsid w:val="002E4E1A"/>
    <w:rsid w:val="002F0D10"/>
    <w:rsid w:val="002F16ED"/>
    <w:rsid w:val="002F29CA"/>
    <w:rsid w:val="002F5567"/>
    <w:rsid w:val="002F694D"/>
    <w:rsid w:val="002F7295"/>
    <w:rsid w:val="002F7B03"/>
    <w:rsid w:val="0030032D"/>
    <w:rsid w:val="00301BB2"/>
    <w:rsid w:val="0030330F"/>
    <w:rsid w:val="0030398B"/>
    <w:rsid w:val="00303ECE"/>
    <w:rsid w:val="0030513D"/>
    <w:rsid w:val="00307238"/>
    <w:rsid w:val="003100C4"/>
    <w:rsid w:val="00311B59"/>
    <w:rsid w:val="003160A2"/>
    <w:rsid w:val="00317D3F"/>
    <w:rsid w:val="00323EA7"/>
    <w:rsid w:val="00327033"/>
    <w:rsid w:val="00327E5D"/>
    <w:rsid w:val="00331705"/>
    <w:rsid w:val="00331930"/>
    <w:rsid w:val="0033257B"/>
    <w:rsid w:val="003361A7"/>
    <w:rsid w:val="003409EB"/>
    <w:rsid w:val="00341706"/>
    <w:rsid w:val="00342A0C"/>
    <w:rsid w:val="0034442B"/>
    <w:rsid w:val="00345B75"/>
    <w:rsid w:val="00347E2E"/>
    <w:rsid w:val="003504BA"/>
    <w:rsid w:val="003505F2"/>
    <w:rsid w:val="00352CE2"/>
    <w:rsid w:val="00354D6B"/>
    <w:rsid w:val="00360E20"/>
    <w:rsid w:val="003618E3"/>
    <w:rsid w:val="0036464D"/>
    <w:rsid w:val="00364CEB"/>
    <w:rsid w:val="00365CF4"/>
    <w:rsid w:val="00365DD4"/>
    <w:rsid w:val="003709E2"/>
    <w:rsid w:val="0037209F"/>
    <w:rsid w:val="00372C93"/>
    <w:rsid w:val="003763CA"/>
    <w:rsid w:val="00376FDC"/>
    <w:rsid w:val="00381DD6"/>
    <w:rsid w:val="003859D9"/>
    <w:rsid w:val="003901B9"/>
    <w:rsid w:val="003917E7"/>
    <w:rsid w:val="00392C34"/>
    <w:rsid w:val="00394219"/>
    <w:rsid w:val="003953A9"/>
    <w:rsid w:val="003959E8"/>
    <w:rsid w:val="0039785F"/>
    <w:rsid w:val="003A29E0"/>
    <w:rsid w:val="003A2EDB"/>
    <w:rsid w:val="003A5AB3"/>
    <w:rsid w:val="003A76AD"/>
    <w:rsid w:val="003B00B5"/>
    <w:rsid w:val="003B1075"/>
    <w:rsid w:val="003B218A"/>
    <w:rsid w:val="003B263A"/>
    <w:rsid w:val="003B4196"/>
    <w:rsid w:val="003B45A9"/>
    <w:rsid w:val="003B528E"/>
    <w:rsid w:val="003B54C2"/>
    <w:rsid w:val="003B62FE"/>
    <w:rsid w:val="003C5027"/>
    <w:rsid w:val="003D0E3C"/>
    <w:rsid w:val="003D5534"/>
    <w:rsid w:val="003E2F71"/>
    <w:rsid w:val="003F037C"/>
    <w:rsid w:val="003F73B7"/>
    <w:rsid w:val="00400D9E"/>
    <w:rsid w:val="0040632A"/>
    <w:rsid w:val="0040694A"/>
    <w:rsid w:val="00407336"/>
    <w:rsid w:val="00407907"/>
    <w:rsid w:val="00410D70"/>
    <w:rsid w:val="0041142B"/>
    <w:rsid w:val="00411833"/>
    <w:rsid w:val="00417368"/>
    <w:rsid w:val="00420137"/>
    <w:rsid w:val="004201E1"/>
    <w:rsid w:val="004206CF"/>
    <w:rsid w:val="00420D8E"/>
    <w:rsid w:val="004223E7"/>
    <w:rsid w:val="004225F3"/>
    <w:rsid w:val="00422F98"/>
    <w:rsid w:val="00431DAF"/>
    <w:rsid w:val="00433EE5"/>
    <w:rsid w:val="00437D21"/>
    <w:rsid w:val="00441275"/>
    <w:rsid w:val="0044133C"/>
    <w:rsid w:val="00441E01"/>
    <w:rsid w:val="00442907"/>
    <w:rsid w:val="00444126"/>
    <w:rsid w:val="004474C4"/>
    <w:rsid w:val="004479C5"/>
    <w:rsid w:val="00451BB9"/>
    <w:rsid w:val="00451E3A"/>
    <w:rsid w:val="004535FC"/>
    <w:rsid w:val="00460D89"/>
    <w:rsid w:val="00461021"/>
    <w:rsid w:val="00461E87"/>
    <w:rsid w:val="00473E57"/>
    <w:rsid w:val="004761CE"/>
    <w:rsid w:val="004771DD"/>
    <w:rsid w:val="00482188"/>
    <w:rsid w:val="00483171"/>
    <w:rsid w:val="004850E8"/>
    <w:rsid w:val="00485C05"/>
    <w:rsid w:val="0048779F"/>
    <w:rsid w:val="0049353E"/>
    <w:rsid w:val="0049609C"/>
    <w:rsid w:val="00496BD3"/>
    <w:rsid w:val="004A0F74"/>
    <w:rsid w:val="004A2324"/>
    <w:rsid w:val="004A5A00"/>
    <w:rsid w:val="004A5E36"/>
    <w:rsid w:val="004B041A"/>
    <w:rsid w:val="004B0E6B"/>
    <w:rsid w:val="004B2139"/>
    <w:rsid w:val="004B3478"/>
    <w:rsid w:val="004B374A"/>
    <w:rsid w:val="004B63BE"/>
    <w:rsid w:val="004B7AED"/>
    <w:rsid w:val="004C057C"/>
    <w:rsid w:val="004C433A"/>
    <w:rsid w:val="004C6668"/>
    <w:rsid w:val="004D0DC2"/>
    <w:rsid w:val="004D0FC1"/>
    <w:rsid w:val="004D1161"/>
    <w:rsid w:val="004D4199"/>
    <w:rsid w:val="004E2B4B"/>
    <w:rsid w:val="004E354C"/>
    <w:rsid w:val="004E35AA"/>
    <w:rsid w:val="004E3671"/>
    <w:rsid w:val="004E478E"/>
    <w:rsid w:val="004E5152"/>
    <w:rsid w:val="004E69EB"/>
    <w:rsid w:val="004E71D5"/>
    <w:rsid w:val="004E7342"/>
    <w:rsid w:val="004F33F2"/>
    <w:rsid w:val="00502B31"/>
    <w:rsid w:val="0050367B"/>
    <w:rsid w:val="00505DF4"/>
    <w:rsid w:val="00506292"/>
    <w:rsid w:val="00512293"/>
    <w:rsid w:val="005153F1"/>
    <w:rsid w:val="00522E50"/>
    <w:rsid w:val="00523E1A"/>
    <w:rsid w:val="00526A74"/>
    <w:rsid w:val="005301B0"/>
    <w:rsid w:val="0053079A"/>
    <w:rsid w:val="00531505"/>
    <w:rsid w:val="00532520"/>
    <w:rsid w:val="0053257A"/>
    <w:rsid w:val="0053378A"/>
    <w:rsid w:val="005346E2"/>
    <w:rsid w:val="0054086D"/>
    <w:rsid w:val="00541C14"/>
    <w:rsid w:val="0054521E"/>
    <w:rsid w:val="00546EEB"/>
    <w:rsid w:val="005523A4"/>
    <w:rsid w:val="005536B8"/>
    <w:rsid w:val="00554860"/>
    <w:rsid w:val="00556C45"/>
    <w:rsid w:val="00565D76"/>
    <w:rsid w:val="00566C00"/>
    <w:rsid w:val="00567CB4"/>
    <w:rsid w:val="00570D1C"/>
    <w:rsid w:val="0057102A"/>
    <w:rsid w:val="005742B7"/>
    <w:rsid w:val="005747C4"/>
    <w:rsid w:val="00574F68"/>
    <w:rsid w:val="0057507C"/>
    <w:rsid w:val="0057583A"/>
    <w:rsid w:val="00581CAE"/>
    <w:rsid w:val="005840BD"/>
    <w:rsid w:val="00592DE1"/>
    <w:rsid w:val="0059497E"/>
    <w:rsid w:val="00595BA7"/>
    <w:rsid w:val="005976E9"/>
    <w:rsid w:val="005A0B03"/>
    <w:rsid w:val="005A27CB"/>
    <w:rsid w:val="005A4381"/>
    <w:rsid w:val="005A640C"/>
    <w:rsid w:val="005B16D7"/>
    <w:rsid w:val="005B2E43"/>
    <w:rsid w:val="005B3679"/>
    <w:rsid w:val="005B403B"/>
    <w:rsid w:val="005B532F"/>
    <w:rsid w:val="005B7CB2"/>
    <w:rsid w:val="005C0558"/>
    <w:rsid w:val="005C2AA0"/>
    <w:rsid w:val="005C39DD"/>
    <w:rsid w:val="005C6206"/>
    <w:rsid w:val="005C6AF9"/>
    <w:rsid w:val="005D1E18"/>
    <w:rsid w:val="005D35ED"/>
    <w:rsid w:val="005D3CFA"/>
    <w:rsid w:val="005D4955"/>
    <w:rsid w:val="005D57BA"/>
    <w:rsid w:val="005D61CB"/>
    <w:rsid w:val="005E543B"/>
    <w:rsid w:val="005E675B"/>
    <w:rsid w:val="005E7B31"/>
    <w:rsid w:val="005F5B3F"/>
    <w:rsid w:val="005F7861"/>
    <w:rsid w:val="005F7E28"/>
    <w:rsid w:val="0060030A"/>
    <w:rsid w:val="006027AD"/>
    <w:rsid w:val="00603086"/>
    <w:rsid w:val="00603496"/>
    <w:rsid w:val="00604EC7"/>
    <w:rsid w:val="00607C6E"/>
    <w:rsid w:val="0061025E"/>
    <w:rsid w:val="0061066D"/>
    <w:rsid w:val="00612A5D"/>
    <w:rsid w:val="00614CBC"/>
    <w:rsid w:val="00614FAF"/>
    <w:rsid w:val="0061698B"/>
    <w:rsid w:val="006208F4"/>
    <w:rsid w:val="00625EE1"/>
    <w:rsid w:val="00632529"/>
    <w:rsid w:val="00635ACC"/>
    <w:rsid w:val="00636E5C"/>
    <w:rsid w:val="00637694"/>
    <w:rsid w:val="00641BE7"/>
    <w:rsid w:val="00642247"/>
    <w:rsid w:val="006422B0"/>
    <w:rsid w:val="00643BA4"/>
    <w:rsid w:val="006449D0"/>
    <w:rsid w:val="00646757"/>
    <w:rsid w:val="00647F91"/>
    <w:rsid w:val="00655B5F"/>
    <w:rsid w:val="00656312"/>
    <w:rsid w:val="00660989"/>
    <w:rsid w:val="00663BA5"/>
    <w:rsid w:val="00671B02"/>
    <w:rsid w:val="00672221"/>
    <w:rsid w:val="00673DF3"/>
    <w:rsid w:val="0067507F"/>
    <w:rsid w:val="006765F7"/>
    <w:rsid w:val="0068102F"/>
    <w:rsid w:val="006816E2"/>
    <w:rsid w:val="00681831"/>
    <w:rsid w:val="006831D3"/>
    <w:rsid w:val="00683B61"/>
    <w:rsid w:val="00686A53"/>
    <w:rsid w:val="0069025F"/>
    <w:rsid w:val="00693AC1"/>
    <w:rsid w:val="006A0C7B"/>
    <w:rsid w:val="006A14C4"/>
    <w:rsid w:val="006A471E"/>
    <w:rsid w:val="006A4C95"/>
    <w:rsid w:val="006B024B"/>
    <w:rsid w:val="006B4429"/>
    <w:rsid w:val="006B48A6"/>
    <w:rsid w:val="006B4FB2"/>
    <w:rsid w:val="006B5F03"/>
    <w:rsid w:val="006B5F8F"/>
    <w:rsid w:val="006B6D29"/>
    <w:rsid w:val="006C1948"/>
    <w:rsid w:val="006C3F42"/>
    <w:rsid w:val="006D0194"/>
    <w:rsid w:val="006D272F"/>
    <w:rsid w:val="006D4A69"/>
    <w:rsid w:val="006D7922"/>
    <w:rsid w:val="006E79BB"/>
    <w:rsid w:val="006F475D"/>
    <w:rsid w:val="006F7864"/>
    <w:rsid w:val="007028CE"/>
    <w:rsid w:val="00702C08"/>
    <w:rsid w:val="0070427E"/>
    <w:rsid w:val="00704FB7"/>
    <w:rsid w:val="00706DB8"/>
    <w:rsid w:val="00710201"/>
    <w:rsid w:val="0071208B"/>
    <w:rsid w:val="00713E33"/>
    <w:rsid w:val="0071406B"/>
    <w:rsid w:val="007156C8"/>
    <w:rsid w:val="007237F8"/>
    <w:rsid w:val="00723E95"/>
    <w:rsid w:val="00723F03"/>
    <w:rsid w:val="007244B1"/>
    <w:rsid w:val="007259ED"/>
    <w:rsid w:val="007271D0"/>
    <w:rsid w:val="00731A2B"/>
    <w:rsid w:val="007320D8"/>
    <w:rsid w:val="0073318A"/>
    <w:rsid w:val="00737570"/>
    <w:rsid w:val="007411E6"/>
    <w:rsid w:val="0074359D"/>
    <w:rsid w:val="0074501B"/>
    <w:rsid w:val="007461A5"/>
    <w:rsid w:val="00753403"/>
    <w:rsid w:val="00754893"/>
    <w:rsid w:val="00754ED4"/>
    <w:rsid w:val="00756D3A"/>
    <w:rsid w:val="00757DB8"/>
    <w:rsid w:val="007622EE"/>
    <w:rsid w:val="00766BC7"/>
    <w:rsid w:val="00767AC1"/>
    <w:rsid w:val="00773EA9"/>
    <w:rsid w:val="007741F3"/>
    <w:rsid w:val="0077550E"/>
    <w:rsid w:val="00775F7B"/>
    <w:rsid w:val="00776EA7"/>
    <w:rsid w:val="007779A7"/>
    <w:rsid w:val="00781315"/>
    <w:rsid w:val="00781A96"/>
    <w:rsid w:val="00782204"/>
    <w:rsid w:val="007829A2"/>
    <w:rsid w:val="0078557A"/>
    <w:rsid w:val="007865C0"/>
    <w:rsid w:val="00786D92"/>
    <w:rsid w:val="007936CD"/>
    <w:rsid w:val="00794369"/>
    <w:rsid w:val="007A45FE"/>
    <w:rsid w:val="007A4E89"/>
    <w:rsid w:val="007A66EB"/>
    <w:rsid w:val="007B0633"/>
    <w:rsid w:val="007B202E"/>
    <w:rsid w:val="007B3A4E"/>
    <w:rsid w:val="007B3BF2"/>
    <w:rsid w:val="007B4ACF"/>
    <w:rsid w:val="007B7BA1"/>
    <w:rsid w:val="007C1911"/>
    <w:rsid w:val="007C34C1"/>
    <w:rsid w:val="007C5468"/>
    <w:rsid w:val="007C5CCE"/>
    <w:rsid w:val="007D00D1"/>
    <w:rsid w:val="007D05E0"/>
    <w:rsid w:val="007D4E65"/>
    <w:rsid w:val="007D5233"/>
    <w:rsid w:val="007D5DB0"/>
    <w:rsid w:val="007E0817"/>
    <w:rsid w:val="007E4259"/>
    <w:rsid w:val="007E45B5"/>
    <w:rsid w:val="007E76A6"/>
    <w:rsid w:val="007F074F"/>
    <w:rsid w:val="007F07CC"/>
    <w:rsid w:val="007F0F69"/>
    <w:rsid w:val="007F1B15"/>
    <w:rsid w:val="007F3272"/>
    <w:rsid w:val="007F3392"/>
    <w:rsid w:val="007F4FFE"/>
    <w:rsid w:val="007F54FB"/>
    <w:rsid w:val="007F735B"/>
    <w:rsid w:val="007F74A2"/>
    <w:rsid w:val="007F74B1"/>
    <w:rsid w:val="007F7E2B"/>
    <w:rsid w:val="00800D57"/>
    <w:rsid w:val="008029AA"/>
    <w:rsid w:val="00802D1B"/>
    <w:rsid w:val="00803425"/>
    <w:rsid w:val="00804430"/>
    <w:rsid w:val="008079C8"/>
    <w:rsid w:val="00811B16"/>
    <w:rsid w:val="0081337E"/>
    <w:rsid w:val="00814C3B"/>
    <w:rsid w:val="008157B8"/>
    <w:rsid w:val="008160D0"/>
    <w:rsid w:val="008178D3"/>
    <w:rsid w:val="00817E59"/>
    <w:rsid w:val="00823041"/>
    <w:rsid w:val="008249EB"/>
    <w:rsid w:val="00830FF6"/>
    <w:rsid w:val="00832CD2"/>
    <w:rsid w:val="00833587"/>
    <w:rsid w:val="00837B08"/>
    <w:rsid w:val="00840F9F"/>
    <w:rsid w:val="008417C0"/>
    <w:rsid w:val="00841AFD"/>
    <w:rsid w:val="008443F0"/>
    <w:rsid w:val="00844522"/>
    <w:rsid w:val="008456E4"/>
    <w:rsid w:val="0084627F"/>
    <w:rsid w:val="008521E3"/>
    <w:rsid w:val="00852B49"/>
    <w:rsid w:val="00857567"/>
    <w:rsid w:val="008611D5"/>
    <w:rsid w:val="0086301A"/>
    <w:rsid w:val="00863D90"/>
    <w:rsid w:val="0086484D"/>
    <w:rsid w:val="00864F36"/>
    <w:rsid w:val="0086522A"/>
    <w:rsid w:val="00865BF4"/>
    <w:rsid w:val="00867083"/>
    <w:rsid w:val="0086747F"/>
    <w:rsid w:val="00870880"/>
    <w:rsid w:val="008713BA"/>
    <w:rsid w:val="00871BD7"/>
    <w:rsid w:val="0087371D"/>
    <w:rsid w:val="0087405F"/>
    <w:rsid w:val="00874CA6"/>
    <w:rsid w:val="00874DEF"/>
    <w:rsid w:val="0087502E"/>
    <w:rsid w:val="008757E6"/>
    <w:rsid w:val="008764C5"/>
    <w:rsid w:val="0087714F"/>
    <w:rsid w:val="00882971"/>
    <w:rsid w:val="008833E3"/>
    <w:rsid w:val="00884976"/>
    <w:rsid w:val="0088507D"/>
    <w:rsid w:val="00885986"/>
    <w:rsid w:val="0088615C"/>
    <w:rsid w:val="008942DD"/>
    <w:rsid w:val="008A2732"/>
    <w:rsid w:val="008B0BF1"/>
    <w:rsid w:val="008B2294"/>
    <w:rsid w:val="008B38FC"/>
    <w:rsid w:val="008B608B"/>
    <w:rsid w:val="008B6E50"/>
    <w:rsid w:val="008C18A5"/>
    <w:rsid w:val="008C237C"/>
    <w:rsid w:val="008C2DB0"/>
    <w:rsid w:val="008C59F6"/>
    <w:rsid w:val="008D0433"/>
    <w:rsid w:val="008D0E54"/>
    <w:rsid w:val="008D32DD"/>
    <w:rsid w:val="008D507A"/>
    <w:rsid w:val="008E1D1F"/>
    <w:rsid w:val="008E3917"/>
    <w:rsid w:val="008E5A6D"/>
    <w:rsid w:val="008E694B"/>
    <w:rsid w:val="008E7D30"/>
    <w:rsid w:val="008F2222"/>
    <w:rsid w:val="008F69EA"/>
    <w:rsid w:val="008F7EE0"/>
    <w:rsid w:val="00901279"/>
    <w:rsid w:val="00902D17"/>
    <w:rsid w:val="00902E47"/>
    <w:rsid w:val="00903154"/>
    <w:rsid w:val="00907703"/>
    <w:rsid w:val="0091085D"/>
    <w:rsid w:val="0091117D"/>
    <w:rsid w:val="009147A2"/>
    <w:rsid w:val="0091484F"/>
    <w:rsid w:val="009154DA"/>
    <w:rsid w:val="009165BC"/>
    <w:rsid w:val="00917207"/>
    <w:rsid w:val="00917ADE"/>
    <w:rsid w:val="00920234"/>
    <w:rsid w:val="009204B6"/>
    <w:rsid w:val="00920CB0"/>
    <w:rsid w:val="00922A72"/>
    <w:rsid w:val="00924081"/>
    <w:rsid w:val="0092540D"/>
    <w:rsid w:val="00926A89"/>
    <w:rsid w:val="00931FB8"/>
    <w:rsid w:val="0093259A"/>
    <w:rsid w:val="0093484A"/>
    <w:rsid w:val="0093545C"/>
    <w:rsid w:val="00936093"/>
    <w:rsid w:val="0094224C"/>
    <w:rsid w:val="0094381C"/>
    <w:rsid w:val="0094499E"/>
    <w:rsid w:val="0094577A"/>
    <w:rsid w:val="009458A1"/>
    <w:rsid w:val="009545AB"/>
    <w:rsid w:val="009562C7"/>
    <w:rsid w:val="0095663A"/>
    <w:rsid w:val="00960021"/>
    <w:rsid w:val="009622D4"/>
    <w:rsid w:val="009623F5"/>
    <w:rsid w:val="00962DC8"/>
    <w:rsid w:val="00963320"/>
    <w:rsid w:val="00963E29"/>
    <w:rsid w:val="0096727D"/>
    <w:rsid w:val="00970A38"/>
    <w:rsid w:val="00983B6A"/>
    <w:rsid w:val="00991AC5"/>
    <w:rsid w:val="00992071"/>
    <w:rsid w:val="009941EB"/>
    <w:rsid w:val="00994CD5"/>
    <w:rsid w:val="009A1206"/>
    <w:rsid w:val="009A3D59"/>
    <w:rsid w:val="009A51FC"/>
    <w:rsid w:val="009B3CC6"/>
    <w:rsid w:val="009B3CF8"/>
    <w:rsid w:val="009B58C5"/>
    <w:rsid w:val="009B5D55"/>
    <w:rsid w:val="009C030E"/>
    <w:rsid w:val="009C2B0D"/>
    <w:rsid w:val="009C3ED9"/>
    <w:rsid w:val="009C6006"/>
    <w:rsid w:val="009C731B"/>
    <w:rsid w:val="009C77E5"/>
    <w:rsid w:val="009D262E"/>
    <w:rsid w:val="009D5691"/>
    <w:rsid w:val="009D674C"/>
    <w:rsid w:val="009E0CD7"/>
    <w:rsid w:val="009E3E51"/>
    <w:rsid w:val="009E4D9B"/>
    <w:rsid w:val="009E63BF"/>
    <w:rsid w:val="009F0E8C"/>
    <w:rsid w:val="009F2652"/>
    <w:rsid w:val="009F5BC7"/>
    <w:rsid w:val="00A00F20"/>
    <w:rsid w:val="00A023B8"/>
    <w:rsid w:val="00A0270F"/>
    <w:rsid w:val="00A04303"/>
    <w:rsid w:val="00A04707"/>
    <w:rsid w:val="00A0777B"/>
    <w:rsid w:val="00A07AFD"/>
    <w:rsid w:val="00A14131"/>
    <w:rsid w:val="00A1504F"/>
    <w:rsid w:val="00A163F1"/>
    <w:rsid w:val="00A217A2"/>
    <w:rsid w:val="00A24034"/>
    <w:rsid w:val="00A246FD"/>
    <w:rsid w:val="00A24C70"/>
    <w:rsid w:val="00A24F61"/>
    <w:rsid w:val="00A251CA"/>
    <w:rsid w:val="00A25C6D"/>
    <w:rsid w:val="00A25F74"/>
    <w:rsid w:val="00A2601E"/>
    <w:rsid w:val="00A26EFB"/>
    <w:rsid w:val="00A27282"/>
    <w:rsid w:val="00A279A9"/>
    <w:rsid w:val="00A332C4"/>
    <w:rsid w:val="00A33A13"/>
    <w:rsid w:val="00A34219"/>
    <w:rsid w:val="00A36E2B"/>
    <w:rsid w:val="00A41D00"/>
    <w:rsid w:val="00A5339B"/>
    <w:rsid w:val="00A55564"/>
    <w:rsid w:val="00A559A4"/>
    <w:rsid w:val="00A57A2B"/>
    <w:rsid w:val="00A6067A"/>
    <w:rsid w:val="00A619AE"/>
    <w:rsid w:val="00A6269B"/>
    <w:rsid w:val="00A63814"/>
    <w:rsid w:val="00A6447E"/>
    <w:rsid w:val="00A64D2C"/>
    <w:rsid w:val="00A6505D"/>
    <w:rsid w:val="00A669FA"/>
    <w:rsid w:val="00A6717C"/>
    <w:rsid w:val="00A67969"/>
    <w:rsid w:val="00A70B9C"/>
    <w:rsid w:val="00A718E8"/>
    <w:rsid w:val="00A73C3C"/>
    <w:rsid w:val="00A77401"/>
    <w:rsid w:val="00A83066"/>
    <w:rsid w:val="00A8327A"/>
    <w:rsid w:val="00A901DD"/>
    <w:rsid w:val="00A9059D"/>
    <w:rsid w:val="00A93E14"/>
    <w:rsid w:val="00A9603B"/>
    <w:rsid w:val="00A978F9"/>
    <w:rsid w:val="00AA142A"/>
    <w:rsid w:val="00AA1AC1"/>
    <w:rsid w:val="00AA2AD7"/>
    <w:rsid w:val="00AA2B19"/>
    <w:rsid w:val="00AA4180"/>
    <w:rsid w:val="00AA426E"/>
    <w:rsid w:val="00AA5077"/>
    <w:rsid w:val="00AA67CF"/>
    <w:rsid w:val="00AA77E7"/>
    <w:rsid w:val="00AB12D2"/>
    <w:rsid w:val="00AB2394"/>
    <w:rsid w:val="00AB2B80"/>
    <w:rsid w:val="00AB495A"/>
    <w:rsid w:val="00AC1C19"/>
    <w:rsid w:val="00AC2775"/>
    <w:rsid w:val="00AC5B2B"/>
    <w:rsid w:val="00AD1BF5"/>
    <w:rsid w:val="00AD37C4"/>
    <w:rsid w:val="00AD4FB9"/>
    <w:rsid w:val="00AD579D"/>
    <w:rsid w:val="00AD605E"/>
    <w:rsid w:val="00AD7AA8"/>
    <w:rsid w:val="00AD7E89"/>
    <w:rsid w:val="00AE070B"/>
    <w:rsid w:val="00AE0DA1"/>
    <w:rsid w:val="00AE0E2C"/>
    <w:rsid w:val="00AE1B4B"/>
    <w:rsid w:val="00AE34F2"/>
    <w:rsid w:val="00AE72EF"/>
    <w:rsid w:val="00AF0C60"/>
    <w:rsid w:val="00AF1C45"/>
    <w:rsid w:val="00AF3427"/>
    <w:rsid w:val="00AF46DE"/>
    <w:rsid w:val="00AF4801"/>
    <w:rsid w:val="00AF6EB7"/>
    <w:rsid w:val="00AF79F6"/>
    <w:rsid w:val="00B01673"/>
    <w:rsid w:val="00B017C3"/>
    <w:rsid w:val="00B02653"/>
    <w:rsid w:val="00B0366B"/>
    <w:rsid w:val="00B0620F"/>
    <w:rsid w:val="00B072AF"/>
    <w:rsid w:val="00B10AFA"/>
    <w:rsid w:val="00B1251E"/>
    <w:rsid w:val="00B12FFE"/>
    <w:rsid w:val="00B159EC"/>
    <w:rsid w:val="00B2457B"/>
    <w:rsid w:val="00B25F9A"/>
    <w:rsid w:val="00B326EF"/>
    <w:rsid w:val="00B34E14"/>
    <w:rsid w:val="00B34F6C"/>
    <w:rsid w:val="00B35B11"/>
    <w:rsid w:val="00B42D65"/>
    <w:rsid w:val="00B43439"/>
    <w:rsid w:val="00B54B4D"/>
    <w:rsid w:val="00B55789"/>
    <w:rsid w:val="00B55796"/>
    <w:rsid w:val="00B63D57"/>
    <w:rsid w:val="00B704C6"/>
    <w:rsid w:val="00B70DD0"/>
    <w:rsid w:val="00B70E84"/>
    <w:rsid w:val="00B71124"/>
    <w:rsid w:val="00B712A2"/>
    <w:rsid w:val="00B7141E"/>
    <w:rsid w:val="00B73D41"/>
    <w:rsid w:val="00B75AA5"/>
    <w:rsid w:val="00B82074"/>
    <w:rsid w:val="00B853AA"/>
    <w:rsid w:val="00B86DFA"/>
    <w:rsid w:val="00B87EC6"/>
    <w:rsid w:val="00B9026E"/>
    <w:rsid w:val="00B9410F"/>
    <w:rsid w:val="00B951C5"/>
    <w:rsid w:val="00B967E8"/>
    <w:rsid w:val="00BA1399"/>
    <w:rsid w:val="00BA21C7"/>
    <w:rsid w:val="00BB17BF"/>
    <w:rsid w:val="00BB2199"/>
    <w:rsid w:val="00BB542D"/>
    <w:rsid w:val="00BB79F8"/>
    <w:rsid w:val="00BC04E5"/>
    <w:rsid w:val="00BC0B03"/>
    <w:rsid w:val="00BC1A59"/>
    <w:rsid w:val="00BC269E"/>
    <w:rsid w:val="00BC53BF"/>
    <w:rsid w:val="00BD0AF4"/>
    <w:rsid w:val="00BD1546"/>
    <w:rsid w:val="00BD2212"/>
    <w:rsid w:val="00BD2E81"/>
    <w:rsid w:val="00BD5417"/>
    <w:rsid w:val="00BD728E"/>
    <w:rsid w:val="00BE0836"/>
    <w:rsid w:val="00BE630C"/>
    <w:rsid w:val="00BE7D59"/>
    <w:rsid w:val="00BF0C4F"/>
    <w:rsid w:val="00BF0D7B"/>
    <w:rsid w:val="00BF13D7"/>
    <w:rsid w:val="00BF16D4"/>
    <w:rsid w:val="00BF19AA"/>
    <w:rsid w:val="00BF43D0"/>
    <w:rsid w:val="00BF575D"/>
    <w:rsid w:val="00BF650C"/>
    <w:rsid w:val="00BF6B18"/>
    <w:rsid w:val="00C04204"/>
    <w:rsid w:val="00C04520"/>
    <w:rsid w:val="00C06C50"/>
    <w:rsid w:val="00C07B02"/>
    <w:rsid w:val="00C10062"/>
    <w:rsid w:val="00C10122"/>
    <w:rsid w:val="00C107B8"/>
    <w:rsid w:val="00C21F73"/>
    <w:rsid w:val="00C231AF"/>
    <w:rsid w:val="00C24ED6"/>
    <w:rsid w:val="00C26397"/>
    <w:rsid w:val="00C268F9"/>
    <w:rsid w:val="00C2715E"/>
    <w:rsid w:val="00C306A9"/>
    <w:rsid w:val="00C331F3"/>
    <w:rsid w:val="00C362D1"/>
    <w:rsid w:val="00C376B6"/>
    <w:rsid w:val="00C37E54"/>
    <w:rsid w:val="00C401FE"/>
    <w:rsid w:val="00C40291"/>
    <w:rsid w:val="00C4032C"/>
    <w:rsid w:val="00C434F6"/>
    <w:rsid w:val="00C437DD"/>
    <w:rsid w:val="00C43BAB"/>
    <w:rsid w:val="00C54E13"/>
    <w:rsid w:val="00C570BF"/>
    <w:rsid w:val="00C577B9"/>
    <w:rsid w:val="00C618AF"/>
    <w:rsid w:val="00C64CE7"/>
    <w:rsid w:val="00C667D8"/>
    <w:rsid w:val="00C727AA"/>
    <w:rsid w:val="00C7517F"/>
    <w:rsid w:val="00C7630D"/>
    <w:rsid w:val="00C766FE"/>
    <w:rsid w:val="00C81F22"/>
    <w:rsid w:val="00C824A0"/>
    <w:rsid w:val="00C83B87"/>
    <w:rsid w:val="00C83D6C"/>
    <w:rsid w:val="00C86834"/>
    <w:rsid w:val="00C86941"/>
    <w:rsid w:val="00C8718B"/>
    <w:rsid w:val="00C87FEA"/>
    <w:rsid w:val="00C90118"/>
    <w:rsid w:val="00C902A8"/>
    <w:rsid w:val="00C94F0E"/>
    <w:rsid w:val="00C9542B"/>
    <w:rsid w:val="00C971C9"/>
    <w:rsid w:val="00CA0259"/>
    <w:rsid w:val="00CA031A"/>
    <w:rsid w:val="00CA229F"/>
    <w:rsid w:val="00CA3705"/>
    <w:rsid w:val="00CA5C7A"/>
    <w:rsid w:val="00CA5E0B"/>
    <w:rsid w:val="00CA65E0"/>
    <w:rsid w:val="00CA6880"/>
    <w:rsid w:val="00CA69A2"/>
    <w:rsid w:val="00CB0235"/>
    <w:rsid w:val="00CB0BA2"/>
    <w:rsid w:val="00CB363A"/>
    <w:rsid w:val="00CB38F2"/>
    <w:rsid w:val="00CB3E6D"/>
    <w:rsid w:val="00CB488C"/>
    <w:rsid w:val="00CB5131"/>
    <w:rsid w:val="00CB5812"/>
    <w:rsid w:val="00CB5FDB"/>
    <w:rsid w:val="00CB6A8E"/>
    <w:rsid w:val="00CB6C4C"/>
    <w:rsid w:val="00CC0D64"/>
    <w:rsid w:val="00CC3C38"/>
    <w:rsid w:val="00CC41B2"/>
    <w:rsid w:val="00CD0032"/>
    <w:rsid w:val="00CD1107"/>
    <w:rsid w:val="00CD30A2"/>
    <w:rsid w:val="00CD710F"/>
    <w:rsid w:val="00CD77E4"/>
    <w:rsid w:val="00CE31FF"/>
    <w:rsid w:val="00CE3633"/>
    <w:rsid w:val="00CE4E30"/>
    <w:rsid w:val="00CF08A0"/>
    <w:rsid w:val="00CF16BA"/>
    <w:rsid w:val="00CF213A"/>
    <w:rsid w:val="00CF65C9"/>
    <w:rsid w:val="00D01F73"/>
    <w:rsid w:val="00D10C41"/>
    <w:rsid w:val="00D11DDF"/>
    <w:rsid w:val="00D11DF5"/>
    <w:rsid w:val="00D13C0F"/>
    <w:rsid w:val="00D152F0"/>
    <w:rsid w:val="00D175A5"/>
    <w:rsid w:val="00D31FE6"/>
    <w:rsid w:val="00D33B65"/>
    <w:rsid w:val="00D3484B"/>
    <w:rsid w:val="00D37D97"/>
    <w:rsid w:val="00D42C8F"/>
    <w:rsid w:val="00D43623"/>
    <w:rsid w:val="00D47911"/>
    <w:rsid w:val="00D542DA"/>
    <w:rsid w:val="00D615FF"/>
    <w:rsid w:val="00D642DE"/>
    <w:rsid w:val="00D773E1"/>
    <w:rsid w:val="00D83535"/>
    <w:rsid w:val="00D835A6"/>
    <w:rsid w:val="00D83936"/>
    <w:rsid w:val="00D8645B"/>
    <w:rsid w:val="00D870FA"/>
    <w:rsid w:val="00D90E30"/>
    <w:rsid w:val="00D91919"/>
    <w:rsid w:val="00D94271"/>
    <w:rsid w:val="00D94F51"/>
    <w:rsid w:val="00D961D3"/>
    <w:rsid w:val="00D96659"/>
    <w:rsid w:val="00DA2A61"/>
    <w:rsid w:val="00DA79EB"/>
    <w:rsid w:val="00DB0C67"/>
    <w:rsid w:val="00DB5501"/>
    <w:rsid w:val="00DC0D26"/>
    <w:rsid w:val="00DC0E3C"/>
    <w:rsid w:val="00DC0EA4"/>
    <w:rsid w:val="00DC1330"/>
    <w:rsid w:val="00DC25C7"/>
    <w:rsid w:val="00DC428D"/>
    <w:rsid w:val="00DC5466"/>
    <w:rsid w:val="00DC6C56"/>
    <w:rsid w:val="00DD1022"/>
    <w:rsid w:val="00DD2295"/>
    <w:rsid w:val="00DD24D2"/>
    <w:rsid w:val="00DD3882"/>
    <w:rsid w:val="00DD3EC8"/>
    <w:rsid w:val="00DD4443"/>
    <w:rsid w:val="00DE105E"/>
    <w:rsid w:val="00DE6370"/>
    <w:rsid w:val="00DE637F"/>
    <w:rsid w:val="00DE6DEB"/>
    <w:rsid w:val="00DE77ED"/>
    <w:rsid w:val="00DF46D0"/>
    <w:rsid w:val="00DF528D"/>
    <w:rsid w:val="00E01692"/>
    <w:rsid w:val="00E01A8C"/>
    <w:rsid w:val="00E03E11"/>
    <w:rsid w:val="00E06237"/>
    <w:rsid w:val="00E073E8"/>
    <w:rsid w:val="00E178DE"/>
    <w:rsid w:val="00E20214"/>
    <w:rsid w:val="00E20A92"/>
    <w:rsid w:val="00E2158A"/>
    <w:rsid w:val="00E22F94"/>
    <w:rsid w:val="00E239CF"/>
    <w:rsid w:val="00E30B9F"/>
    <w:rsid w:val="00E409EA"/>
    <w:rsid w:val="00E41A26"/>
    <w:rsid w:val="00E4206D"/>
    <w:rsid w:val="00E4323F"/>
    <w:rsid w:val="00E433CC"/>
    <w:rsid w:val="00E43ABF"/>
    <w:rsid w:val="00E44E8C"/>
    <w:rsid w:val="00E452FC"/>
    <w:rsid w:val="00E46E58"/>
    <w:rsid w:val="00E47A46"/>
    <w:rsid w:val="00E5441B"/>
    <w:rsid w:val="00E57739"/>
    <w:rsid w:val="00E57B55"/>
    <w:rsid w:val="00E60FE7"/>
    <w:rsid w:val="00E64DB7"/>
    <w:rsid w:val="00E66380"/>
    <w:rsid w:val="00E665FA"/>
    <w:rsid w:val="00E66A0F"/>
    <w:rsid w:val="00E674B1"/>
    <w:rsid w:val="00E73954"/>
    <w:rsid w:val="00E76C68"/>
    <w:rsid w:val="00E779F0"/>
    <w:rsid w:val="00E80351"/>
    <w:rsid w:val="00E8229C"/>
    <w:rsid w:val="00E828F7"/>
    <w:rsid w:val="00E840C8"/>
    <w:rsid w:val="00E853D7"/>
    <w:rsid w:val="00E94D56"/>
    <w:rsid w:val="00E95172"/>
    <w:rsid w:val="00E96712"/>
    <w:rsid w:val="00E97E23"/>
    <w:rsid w:val="00EA10CE"/>
    <w:rsid w:val="00EA15E5"/>
    <w:rsid w:val="00EA229B"/>
    <w:rsid w:val="00EB1B12"/>
    <w:rsid w:val="00EB27B6"/>
    <w:rsid w:val="00EB2EFD"/>
    <w:rsid w:val="00EB4A12"/>
    <w:rsid w:val="00EB546E"/>
    <w:rsid w:val="00EB5765"/>
    <w:rsid w:val="00EB6307"/>
    <w:rsid w:val="00EC1B45"/>
    <w:rsid w:val="00EC25E7"/>
    <w:rsid w:val="00EC374A"/>
    <w:rsid w:val="00EC3CA2"/>
    <w:rsid w:val="00EC4625"/>
    <w:rsid w:val="00EC6855"/>
    <w:rsid w:val="00EC6FF4"/>
    <w:rsid w:val="00ED1400"/>
    <w:rsid w:val="00ED3F1B"/>
    <w:rsid w:val="00ED402F"/>
    <w:rsid w:val="00ED61E4"/>
    <w:rsid w:val="00ED6C0F"/>
    <w:rsid w:val="00EE2F6E"/>
    <w:rsid w:val="00EE4B07"/>
    <w:rsid w:val="00EE537E"/>
    <w:rsid w:val="00EF0976"/>
    <w:rsid w:val="00EF0F7A"/>
    <w:rsid w:val="00EF3434"/>
    <w:rsid w:val="00EF37E9"/>
    <w:rsid w:val="00EF5966"/>
    <w:rsid w:val="00EF5C67"/>
    <w:rsid w:val="00EF7A63"/>
    <w:rsid w:val="00F00FBC"/>
    <w:rsid w:val="00F01842"/>
    <w:rsid w:val="00F0512A"/>
    <w:rsid w:val="00F052C1"/>
    <w:rsid w:val="00F07F8A"/>
    <w:rsid w:val="00F1005D"/>
    <w:rsid w:val="00F11317"/>
    <w:rsid w:val="00F12E96"/>
    <w:rsid w:val="00F15141"/>
    <w:rsid w:val="00F165B5"/>
    <w:rsid w:val="00F16F5A"/>
    <w:rsid w:val="00F178B4"/>
    <w:rsid w:val="00F20A87"/>
    <w:rsid w:val="00F20DC5"/>
    <w:rsid w:val="00F225CC"/>
    <w:rsid w:val="00F22FC5"/>
    <w:rsid w:val="00F249F1"/>
    <w:rsid w:val="00F255B5"/>
    <w:rsid w:val="00F2623B"/>
    <w:rsid w:val="00F26A55"/>
    <w:rsid w:val="00F31201"/>
    <w:rsid w:val="00F329E8"/>
    <w:rsid w:val="00F342DC"/>
    <w:rsid w:val="00F34ADB"/>
    <w:rsid w:val="00F35BA2"/>
    <w:rsid w:val="00F36D12"/>
    <w:rsid w:val="00F40D3D"/>
    <w:rsid w:val="00F41103"/>
    <w:rsid w:val="00F41395"/>
    <w:rsid w:val="00F4151F"/>
    <w:rsid w:val="00F4579D"/>
    <w:rsid w:val="00F465FD"/>
    <w:rsid w:val="00F470C0"/>
    <w:rsid w:val="00F507B3"/>
    <w:rsid w:val="00F52AC2"/>
    <w:rsid w:val="00F53725"/>
    <w:rsid w:val="00F557E8"/>
    <w:rsid w:val="00F55E89"/>
    <w:rsid w:val="00F567CD"/>
    <w:rsid w:val="00F57D78"/>
    <w:rsid w:val="00F608F3"/>
    <w:rsid w:val="00F61B1E"/>
    <w:rsid w:val="00F62C8C"/>
    <w:rsid w:val="00F637B5"/>
    <w:rsid w:val="00F64720"/>
    <w:rsid w:val="00F675FC"/>
    <w:rsid w:val="00F71420"/>
    <w:rsid w:val="00F71CA4"/>
    <w:rsid w:val="00F73EA6"/>
    <w:rsid w:val="00F812DC"/>
    <w:rsid w:val="00F820A5"/>
    <w:rsid w:val="00F83776"/>
    <w:rsid w:val="00F8442B"/>
    <w:rsid w:val="00F852BE"/>
    <w:rsid w:val="00F90764"/>
    <w:rsid w:val="00F90E29"/>
    <w:rsid w:val="00F941C0"/>
    <w:rsid w:val="00F96BCD"/>
    <w:rsid w:val="00F9791B"/>
    <w:rsid w:val="00FA07B2"/>
    <w:rsid w:val="00FA16E6"/>
    <w:rsid w:val="00FA2049"/>
    <w:rsid w:val="00FA48DC"/>
    <w:rsid w:val="00FA5A17"/>
    <w:rsid w:val="00FA6B40"/>
    <w:rsid w:val="00FA6D6F"/>
    <w:rsid w:val="00FB4DC1"/>
    <w:rsid w:val="00FB5E3C"/>
    <w:rsid w:val="00FB6AF5"/>
    <w:rsid w:val="00FB7368"/>
    <w:rsid w:val="00FB763E"/>
    <w:rsid w:val="00FB786A"/>
    <w:rsid w:val="00FC0ADD"/>
    <w:rsid w:val="00FC39C9"/>
    <w:rsid w:val="00FC4AA1"/>
    <w:rsid w:val="00FD2D8D"/>
    <w:rsid w:val="00FD6EB0"/>
    <w:rsid w:val="00FD6F86"/>
    <w:rsid w:val="00FE03E2"/>
    <w:rsid w:val="00FF189C"/>
    <w:rsid w:val="00FF2F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EDB"/>
    <w:pPr>
      <w:spacing w:after="200" w:line="276" w:lineRule="auto"/>
    </w:pPr>
    <w:rPr>
      <w:sz w:val="22"/>
      <w:szCs w:val="22"/>
    </w:rPr>
  </w:style>
  <w:style w:type="paragraph" w:styleId="Heading1">
    <w:name w:val="heading 1"/>
    <w:basedOn w:val="Normal"/>
    <w:link w:val="Heading1Char"/>
    <w:uiPriority w:val="9"/>
    <w:qFormat/>
    <w:rsid w:val="00864F36"/>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3">
    <w:name w:val="heading 3"/>
    <w:basedOn w:val="Normal"/>
    <w:next w:val="Normal"/>
    <w:link w:val="Heading3Char"/>
    <w:uiPriority w:val="9"/>
    <w:semiHidden/>
    <w:unhideWhenUsed/>
    <w:qFormat/>
    <w:rsid w:val="00D835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sbf">
    <w:name w:val="ss_bf"/>
    <w:rsid w:val="00837B08"/>
  </w:style>
  <w:style w:type="character" w:styleId="Hyperlink">
    <w:name w:val="Hyperlink"/>
    <w:uiPriority w:val="99"/>
    <w:semiHidden/>
    <w:unhideWhenUsed/>
    <w:rsid w:val="00837B08"/>
    <w:rPr>
      <w:color w:val="0000FF"/>
      <w:u w:val="single"/>
    </w:rPr>
  </w:style>
  <w:style w:type="character" w:customStyle="1" w:styleId="Heading1Char">
    <w:name w:val="Heading 1 Char"/>
    <w:link w:val="Heading1"/>
    <w:uiPriority w:val="9"/>
    <w:rsid w:val="00864F36"/>
    <w:rPr>
      <w:rFonts w:ascii="Times New Roman" w:eastAsia="Times New Roman" w:hAnsi="Times New Roman"/>
      <w:b/>
      <w:bCs/>
      <w:kern w:val="36"/>
      <w:sz w:val="48"/>
      <w:szCs w:val="48"/>
    </w:rPr>
  </w:style>
  <w:style w:type="character" w:customStyle="1" w:styleId="injectednode">
    <w:name w:val="injectednode"/>
    <w:rsid w:val="00864F36"/>
  </w:style>
  <w:style w:type="character" w:customStyle="1" w:styleId="ssit">
    <w:name w:val="ss_it"/>
    <w:rsid w:val="001F5301"/>
  </w:style>
  <w:style w:type="character" w:customStyle="1" w:styleId="apple-converted-space">
    <w:name w:val="apple-converted-space"/>
    <w:rsid w:val="00A24C70"/>
  </w:style>
  <w:style w:type="character" w:customStyle="1" w:styleId="term">
    <w:name w:val="term"/>
    <w:rsid w:val="00A24C70"/>
  </w:style>
  <w:style w:type="character" w:customStyle="1" w:styleId="sssh">
    <w:name w:val="ss_sh"/>
    <w:rsid w:val="00FA5A17"/>
  </w:style>
  <w:style w:type="paragraph" w:styleId="BalloonText">
    <w:name w:val="Balloon Text"/>
    <w:basedOn w:val="Normal"/>
    <w:link w:val="BalloonTextChar"/>
    <w:uiPriority w:val="99"/>
    <w:semiHidden/>
    <w:unhideWhenUsed/>
    <w:rsid w:val="009325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59A"/>
    <w:rPr>
      <w:rFonts w:ascii="Tahoma" w:hAnsi="Tahoma" w:cs="Tahoma"/>
      <w:sz w:val="16"/>
      <w:szCs w:val="16"/>
    </w:rPr>
  </w:style>
  <w:style w:type="character" w:styleId="CommentReference">
    <w:name w:val="annotation reference"/>
    <w:basedOn w:val="DefaultParagraphFont"/>
    <w:uiPriority w:val="99"/>
    <w:semiHidden/>
    <w:unhideWhenUsed/>
    <w:rsid w:val="00004F7A"/>
    <w:rPr>
      <w:sz w:val="16"/>
      <w:szCs w:val="16"/>
    </w:rPr>
  </w:style>
  <w:style w:type="paragraph" w:styleId="CommentText">
    <w:name w:val="annotation text"/>
    <w:basedOn w:val="Normal"/>
    <w:link w:val="CommentTextChar"/>
    <w:uiPriority w:val="99"/>
    <w:semiHidden/>
    <w:unhideWhenUsed/>
    <w:rsid w:val="00004F7A"/>
    <w:pPr>
      <w:spacing w:line="240" w:lineRule="auto"/>
    </w:pPr>
    <w:rPr>
      <w:sz w:val="20"/>
      <w:szCs w:val="20"/>
    </w:rPr>
  </w:style>
  <w:style w:type="character" w:customStyle="1" w:styleId="CommentTextChar">
    <w:name w:val="Comment Text Char"/>
    <w:basedOn w:val="DefaultParagraphFont"/>
    <w:link w:val="CommentText"/>
    <w:uiPriority w:val="99"/>
    <w:semiHidden/>
    <w:rsid w:val="00004F7A"/>
  </w:style>
  <w:style w:type="paragraph" w:styleId="CommentSubject">
    <w:name w:val="annotation subject"/>
    <w:basedOn w:val="CommentText"/>
    <w:next w:val="CommentText"/>
    <w:link w:val="CommentSubjectChar"/>
    <w:uiPriority w:val="99"/>
    <w:semiHidden/>
    <w:unhideWhenUsed/>
    <w:rsid w:val="00004F7A"/>
    <w:rPr>
      <w:b/>
      <w:bCs/>
    </w:rPr>
  </w:style>
  <w:style w:type="character" w:customStyle="1" w:styleId="CommentSubjectChar">
    <w:name w:val="Comment Subject Char"/>
    <w:basedOn w:val="CommentTextChar"/>
    <w:link w:val="CommentSubject"/>
    <w:uiPriority w:val="99"/>
    <w:semiHidden/>
    <w:rsid w:val="00004F7A"/>
    <w:rPr>
      <w:b/>
      <w:bCs/>
    </w:rPr>
  </w:style>
  <w:style w:type="paragraph" w:styleId="ListParagraph">
    <w:name w:val="List Paragraph"/>
    <w:basedOn w:val="Normal"/>
    <w:uiPriority w:val="34"/>
    <w:qFormat/>
    <w:rsid w:val="00F20A87"/>
    <w:pPr>
      <w:ind w:left="720"/>
      <w:contextualSpacing/>
    </w:pPr>
    <w:rPr>
      <w:rFonts w:asciiTheme="minorHAnsi" w:eastAsiaTheme="minorHAnsi" w:hAnsiTheme="minorHAnsi" w:cstheme="minorBidi"/>
    </w:rPr>
  </w:style>
  <w:style w:type="paragraph" w:customStyle="1" w:styleId="PSCAnswer">
    <w:name w:val="PSC Answer"/>
    <w:basedOn w:val="Normal"/>
    <w:link w:val="PSCAnswerChar"/>
    <w:autoRedefine/>
    <w:qFormat/>
    <w:rsid w:val="00F34ADB"/>
    <w:pPr>
      <w:spacing w:line="240" w:lineRule="auto"/>
      <w:contextualSpacing/>
    </w:pPr>
    <w:rPr>
      <w:rFonts w:ascii="Times New Roman" w:eastAsia="MS Mincho" w:hAnsi="Times New Roman"/>
      <w:sz w:val="24"/>
      <w:szCs w:val="24"/>
    </w:rPr>
  </w:style>
  <w:style w:type="character" w:customStyle="1" w:styleId="PSCAnswerChar">
    <w:name w:val="PSC Answer Char"/>
    <w:basedOn w:val="DefaultParagraphFont"/>
    <w:link w:val="PSCAnswer"/>
    <w:rsid w:val="00F34ADB"/>
    <w:rPr>
      <w:rFonts w:ascii="Times New Roman" w:eastAsia="MS Mincho" w:hAnsi="Times New Roman"/>
      <w:sz w:val="24"/>
      <w:szCs w:val="24"/>
    </w:rPr>
  </w:style>
  <w:style w:type="character" w:customStyle="1" w:styleId="normaltextrun1">
    <w:name w:val="normaltextrun1"/>
    <w:basedOn w:val="DefaultParagraphFont"/>
    <w:rsid w:val="0087371D"/>
  </w:style>
  <w:style w:type="character" w:customStyle="1" w:styleId="eop">
    <w:name w:val="eop"/>
    <w:basedOn w:val="DefaultParagraphFont"/>
    <w:rsid w:val="0087371D"/>
  </w:style>
  <w:style w:type="paragraph" w:styleId="FootnoteText">
    <w:name w:val="footnote text"/>
    <w:aliases w:val="Footnote Text Char1 Char,Footnote Text Char Char Char,Footnote Text Char1 Char Char Char,Footnote Text Char Char Char Char Char,Footnote Text Char Char1 Char,Footnote Text Char1 Char1 Char"/>
    <w:basedOn w:val="Normal"/>
    <w:link w:val="FootnoteTextChar"/>
    <w:uiPriority w:val="99"/>
    <w:rsid w:val="008D507A"/>
    <w:pPr>
      <w:widowControl w:val="0"/>
      <w:spacing w:after="0" w:line="240" w:lineRule="auto"/>
      <w:jc w:val="both"/>
    </w:pPr>
    <w:rPr>
      <w:rFonts w:ascii="Times New Roman" w:hAnsi="Times New Roman"/>
      <w:sz w:val="20"/>
      <w:szCs w:val="20"/>
    </w:rPr>
  </w:style>
  <w:style w:type="character" w:customStyle="1" w:styleId="FootnoteTextChar">
    <w:name w:val="Footnote Text Char"/>
    <w:aliases w:val="Footnote Text Char1 Char Char,Footnote Text Char Char Char Char,Footnote Text Char1 Char Char Char Char,Footnote Text Char Char Char Char Char Char,Footnote Text Char Char1 Char Char,Footnote Text Char1 Char1 Char Char"/>
    <w:basedOn w:val="DefaultParagraphFont"/>
    <w:link w:val="FootnoteText"/>
    <w:uiPriority w:val="99"/>
    <w:rsid w:val="008D507A"/>
    <w:rPr>
      <w:rFonts w:ascii="Times New Roman" w:hAnsi="Times New Roman"/>
    </w:rPr>
  </w:style>
  <w:style w:type="character" w:styleId="FootnoteReference">
    <w:name w:val="footnote reference"/>
    <w:uiPriority w:val="99"/>
    <w:rsid w:val="008D507A"/>
    <w:rPr>
      <w:vertAlign w:val="superscript"/>
    </w:rPr>
  </w:style>
  <w:style w:type="character" w:customStyle="1" w:styleId="Heading3Char">
    <w:name w:val="Heading 3 Char"/>
    <w:basedOn w:val="DefaultParagraphFont"/>
    <w:link w:val="Heading3"/>
    <w:uiPriority w:val="9"/>
    <w:semiHidden/>
    <w:rsid w:val="00D835A6"/>
    <w:rPr>
      <w:rFonts w:asciiTheme="majorHAnsi" w:eastAsiaTheme="majorEastAsia" w:hAnsiTheme="majorHAnsi" w:cstheme="majorBidi"/>
      <w:b/>
      <w:bCs/>
      <w:color w:val="4F81BD" w:themeColor="accent1"/>
      <w:sz w:val="22"/>
      <w:szCs w:val="22"/>
    </w:rPr>
  </w:style>
  <w:style w:type="paragraph" w:styleId="Header">
    <w:name w:val="header"/>
    <w:basedOn w:val="Normal"/>
    <w:link w:val="HeaderChar"/>
    <w:uiPriority w:val="99"/>
    <w:unhideWhenUsed/>
    <w:rsid w:val="00D835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5A6"/>
    <w:rPr>
      <w:sz w:val="22"/>
      <w:szCs w:val="22"/>
    </w:rPr>
  </w:style>
  <w:style w:type="paragraph" w:styleId="Footer">
    <w:name w:val="footer"/>
    <w:basedOn w:val="Normal"/>
    <w:link w:val="FooterChar"/>
    <w:uiPriority w:val="99"/>
    <w:unhideWhenUsed/>
    <w:rsid w:val="00D835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5A6"/>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link w:val="Heading1Char"/>
    <w:uiPriority w:val="9"/>
    <w:qFormat/>
    <w:rsid w:val="00864F36"/>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3">
    <w:name w:val="heading 3"/>
    <w:basedOn w:val="Normal"/>
    <w:next w:val="Normal"/>
    <w:link w:val="Heading3Char"/>
    <w:uiPriority w:val="9"/>
    <w:semiHidden/>
    <w:unhideWhenUsed/>
    <w:qFormat/>
    <w:rsid w:val="00D835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sbf">
    <w:name w:val="ss_bf"/>
    <w:rsid w:val="00837B08"/>
  </w:style>
  <w:style w:type="character" w:styleId="Hyperlink">
    <w:name w:val="Hyperlink"/>
    <w:uiPriority w:val="99"/>
    <w:semiHidden/>
    <w:unhideWhenUsed/>
    <w:rsid w:val="00837B08"/>
    <w:rPr>
      <w:color w:val="0000FF"/>
      <w:u w:val="single"/>
    </w:rPr>
  </w:style>
  <w:style w:type="character" w:customStyle="1" w:styleId="Heading1Char">
    <w:name w:val="Heading 1 Char"/>
    <w:link w:val="Heading1"/>
    <w:uiPriority w:val="9"/>
    <w:rsid w:val="00864F36"/>
    <w:rPr>
      <w:rFonts w:ascii="Times New Roman" w:eastAsia="Times New Roman" w:hAnsi="Times New Roman"/>
      <w:b/>
      <w:bCs/>
      <w:kern w:val="36"/>
      <w:sz w:val="48"/>
      <w:szCs w:val="48"/>
    </w:rPr>
  </w:style>
  <w:style w:type="character" w:customStyle="1" w:styleId="injectednode">
    <w:name w:val="injectednode"/>
    <w:rsid w:val="00864F36"/>
  </w:style>
  <w:style w:type="character" w:customStyle="1" w:styleId="ssit">
    <w:name w:val="ss_it"/>
    <w:rsid w:val="001F5301"/>
  </w:style>
  <w:style w:type="character" w:customStyle="1" w:styleId="apple-converted-space">
    <w:name w:val="apple-converted-space"/>
    <w:rsid w:val="00A24C70"/>
  </w:style>
  <w:style w:type="character" w:customStyle="1" w:styleId="term">
    <w:name w:val="term"/>
    <w:rsid w:val="00A24C70"/>
  </w:style>
  <w:style w:type="character" w:customStyle="1" w:styleId="sssh">
    <w:name w:val="ss_sh"/>
    <w:rsid w:val="00FA5A17"/>
  </w:style>
  <w:style w:type="paragraph" w:styleId="BalloonText">
    <w:name w:val="Balloon Text"/>
    <w:basedOn w:val="Normal"/>
    <w:link w:val="BalloonTextChar"/>
    <w:uiPriority w:val="99"/>
    <w:semiHidden/>
    <w:unhideWhenUsed/>
    <w:rsid w:val="009325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59A"/>
    <w:rPr>
      <w:rFonts w:ascii="Tahoma" w:hAnsi="Tahoma" w:cs="Tahoma"/>
      <w:sz w:val="16"/>
      <w:szCs w:val="16"/>
    </w:rPr>
  </w:style>
  <w:style w:type="character" w:styleId="CommentReference">
    <w:name w:val="annotation reference"/>
    <w:basedOn w:val="DefaultParagraphFont"/>
    <w:uiPriority w:val="99"/>
    <w:semiHidden/>
    <w:unhideWhenUsed/>
    <w:rsid w:val="00004F7A"/>
    <w:rPr>
      <w:sz w:val="16"/>
      <w:szCs w:val="16"/>
    </w:rPr>
  </w:style>
  <w:style w:type="paragraph" w:styleId="CommentText">
    <w:name w:val="annotation text"/>
    <w:basedOn w:val="Normal"/>
    <w:link w:val="CommentTextChar"/>
    <w:uiPriority w:val="99"/>
    <w:semiHidden/>
    <w:unhideWhenUsed/>
    <w:rsid w:val="00004F7A"/>
    <w:pPr>
      <w:spacing w:line="240" w:lineRule="auto"/>
    </w:pPr>
    <w:rPr>
      <w:sz w:val="20"/>
      <w:szCs w:val="20"/>
    </w:rPr>
  </w:style>
  <w:style w:type="character" w:customStyle="1" w:styleId="CommentTextChar">
    <w:name w:val="Comment Text Char"/>
    <w:basedOn w:val="DefaultParagraphFont"/>
    <w:link w:val="CommentText"/>
    <w:uiPriority w:val="99"/>
    <w:semiHidden/>
    <w:rsid w:val="00004F7A"/>
  </w:style>
  <w:style w:type="paragraph" w:styleId="CommentSubject">
    <w:name w:val="annotation subject"/>
    <w:basedOn w:val="CommentText"/>
    <w:next w:val="CommentText"/>
    <w:link w:val="CommentSubjectChar"/>
    <w:uiPriority w:val="99"/>
    <w:semiHidden/>
    <w:unhideWhenUsed/>
    <w:rsid w:val="00004F7A"/>
    <w:rPr>
      <w:b/>
      <w:bCs/>
    </w:rPr>
  </w:style>
  <w:style w:type="character" w:customStyle="1" w:styleId="CommentSubjectChar">
    <w:name w:val="Comment Subject Char"/>
    <w:basedOn w:val="CommentTextChar"/>
    <w:link w:val="CommentSubject"/>
    <w:uiPriority w:val="99"/>
    <w:semiHidden/>
    <w:rsid w:val="00004F7A"/>
    <w:rPr>
      <w:b/>
      <w:bCs/>
    </w:rPr>
  </w:style>
  <w:style w:type="paragraph" w:styleId="ListParagraph">
    <w:name w:val="List Paragraph"/>
    <w:basedOn w:val="Normal"/>
    <w:uiPriority w:val="34"/>
    <w:qFormat/>
    <w:rsid w:val="00F20A87"/>
    <w:pPr>
      <w:ind w:left="720"/>
      <w:contextualSpacing/>
    </w:pPr>
    <w:rPr>
      <w:rFonts w:asciiTheme="minorHAnsi" w:eastAsiaTheme="minorHAnsi" w:hAnsiTheme="minorHAnsi" w:cstheme="minorBidi"/>
    </w:rPr>
  </w:style>
  <w:style w:type="paragraph" w:customStyle="1" w:styleId="PSCAnswer">
    <w:name w:val="PSC Answer"/>
    <w:basedOn w:val="Normal"/>
    <w:link w:val="PSCAnswerChar"/>
    <w:autoRedefine/>
    <w:qFormat/>
    <w:rsid w:val="00F34ADB"/>
    <w:pPr>
      <w:spacing w:line="240" w:lineRule="auto"/>
      <w:contextualSpacing/>
      <w:pPrChange w:id="1" w:author="Daniel Walsh" w:date="2017-12-18T23:58:00Z">
        <w:pPr>
          <w:spacing w:after="200"/>
          <w:contextualSpacing/>
        </w:pPr>
      </w:pPrChange>
    </w:pPr>
    <w:rPr>
      <w:rFonts w:ascii="Times New Roman" w:eastAsia="MS Mincho" w:hAnsi="Times New Roman"/>
      <w:sz w:val="24"/>
      <w:szCs w:val="24"/>
      <w:rPrChange w:id="1" w:author="Daniel Walsh" w:date="2017-12-18T23:58:00Z">
        <w:rPr>
          <w:rFonts w:eastAsia="MS Mincho"/>
          <w:sz w:val="24"/>
          <w:szCs w:val="24"/>
          <w:lang w:val="en-US" w:eastAsia="en-US" w:bidi="ar-SA"/>
        </w:rPr>
      </w:rPrChange>
    </w:rPr>
  </w:style>
  <w:style w:type="character" w:customStyle="1" w:styleId="PSCAnswerChar">
    <w:name w:val="PSC Answer Char"/>
    <w:basedOn w:val="DefaultParagraphFont"/>
    <w:link w:val="PSCAnswer"/>
    <w:rsid w:val="00F34ADB"/>
    <w:rPr>
      <w:rFonts w:ascii="Times New Roman" w:eastAsia="MS Mincho" w:hAnsi="Times New Roman"/>
      <w:sz w:val="24"/>
      <w:szCs w:val="24"/>
    </w:rPr>
  </w:style>
  <w:style w:type="character" w:customStyle="1" w:styleId="normaltextrun1">
    <w:name w:val="normaltextrun1"/>
    <w:basedOn w:val="DefaultParagraphFont"/>
    <w:rsid w:val="0087371D"/>
  </w:style>
  <w:style w:type="character" w:customStyle="1" w:styleId="eop">
    <w:name w:val="eop"/>
    <w:basedOn w:val="DefaultParagraphFont"/>
    <w:rsid w:val="0087371D"/>
  </w:style>
  <w:style w:type="paragraph" w:styleId="FootnoteText">
    <w:name w:val="footnote text"/>
    <w:aliases w:val="Footnote Text Char1 Char,Footnote Text Char Char Char,Footnote Text Char1 Char Char Char,Footnote Text Char Char Char Char Char,Footnote Text Char Char1 Char,Footnote Text Char1 Char1 Char"/>
    <w:basedOn w:val="Normal"/>
    <w:link w:val="FootnoteTextChar"/>
    <w:uiPriority w:val="99"/>
    <w:rsid w:val="008D507A"/>
    <w:pPr>
      <w:widowControl w:val="0"/>
      <w:spacing w:after="0" w:line="240" w:lineRule="auto"/>
      <w:jc w:val="both"/>
    </w:pPr>
    <w:rPr>
      <w:rFonts w:ascii="Times New Roman" w:hAnsi="Times New Roman"/>
      <w:sz w:val="20"/>
      <w:szCs w:val="20"/>
    </w:rPr>
  </w:style>
  <w:style w:type="character" w:customStyle="1" w:styleId="FootnoteTextChar">
    <w:name w:val="Footnote Text Char"/>
    <w:aliases w:val="Footnote Text Char1 Char Char,Footnote Text Char Char Char Char,Footnote Text Char1 Char Char Char Char,Footnote Text Char Char Char Char Char Char,Footnote Text Char Char1 Char Char,Footnote Text Char1 Char1 Char Char"/>
    <w:basedOn w:val="DefaultParagraphFont"/>
    <w:link w:val="FootnoteText"/>
    <w:uiPriority w:val="99"/>
    <w:rsid w:val="008D507A"/>
    <w:rPr>
      <w:rFonts w:ascii="Times New Roman" w:hAnsi="Times New Roman"/>
    </w:rPr>
  </w:style>
  <w:style w:type="character" w:styleId="FootnoteReference">
    <w:name w:val="footnote reference"/>
    <w:uiPriority w:val="99"/>
    <w:rsid w:val="008D507A"/>
    <w:rPr>
      <w:vertAlign w:val="superscript"/>
    </w:rPr>
  </w:style>
  <w:style w:type="character" w:customStyle="1" w:styleId="Heading3Char">
    <w:name w:val="Heading 3 Char"/>
    <w:basedOn w:val="DefaultParagraphFont"/>
    <w:link w:val="Heading3"/>
    <w:uiPriority w:val="9"/>
    <w:semiHidden/>
    <w:rsid w:val="00D835A6"/>
    <w:rPr>
      <w:rFonts w:asciiTheme="majorHAnsi" w:eastAsiaTheme="majorEastAsia" w:hAnsiTheme="majorHAnsi" w:cstheme="majorBidi"/>
      <w:b/>
      <w:bCs/>
      <w:color w:val="4F81BD" w:themeColor="accent1"/>
      <w:sz w:val="22"/>
      <w:szCs w:val="22"/>
    </w:rPr>
  </w:style>
  <w:style w:type="paragraph" w:styleId="Header">
    <w:name w:val="header"/>
    <w:basedOn w:val="Normal"/>
    <w:link w:val="HeaderChar"/>
    <w:uiPriority w:val="99"/>
    <w:unhideWhenUsed/>
    <w:rsid w:val="00D835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5A6"/>
    <w:rPr>
      <w:sz w:val="22"/>
      <w:szCs w:val="22"/>
    </w:rPr>
  </w:style>
  <w:style w:type="paragraph" w:styleId="Footer">
    <w:name w:val="footer"/>
    <w:basedOn w:val="Normal"/>
    <w:link w:val="FooterChar"/>
    <w:uiPriority w:val="99"/>
    <w:unhideWhenUsed/>
    <w:rsid w:val="00D835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5A6"/>
    <w:rPr>
      <w:sz w:val="22"/>
      <w:szCs w:val="22"/>
    </w:rPr>
  </w:style>
</w:styles>
</file>

<file path=word/webSettings.xml><?xml version="1.0" encoding="utf-8"?>
<w:webSettings xmlns:r="http://schemas.openxmlformats.org/officeDocument/2006/relationships" xmlns:w="http://schemas.openxmlformats.org/wordprocessingml/2006/main">
  <w:divs>
    <w:div w:id="1179928316">
      <w:bodyDiv w:val="1"/>
      <w:marLeft w:val="0"/>
      <w:marRight w:val="0"/>
      <w:marTop w:val="0"/>
      <w:marBottom w:val="0"/>
      <w:divBdr>
        <w:top w:val="none" w:sz="0" w:space="0" w:color="auto"/>
        <w:left w:val="none" w:sz="0" w:space="0" w:color="auto"/>
        <w:bottom w:val="none" w:sz="0" w:space="0" w:color="auto"/>
        <w:right w:val="none" w:sz="0" w:space="0" w:color="auto"/>
      </w:divBdr>
    </w:div>
    <w:div w:id="1259175121">
      <w:bodyDiv w:val="1"/>
      <w:marLeft w:val="0"/>
      <w:marRight w:val="0"/>
      <w:marTop w:val="0"/>
      <w:marBottom w:val="0"/>
      <w:divBdr>
        <w:top w:val="none" w:sz="0" w:space="0" w:color="auto"/>
        <w:left w:val="none" w:sz="0" w:space="0" w:color="auto"/>
        <w:bottom w:val="none" w:sz="0" w:space="0" w:color="auto"/>
        <w:right w:val="none" w:sz="0" w:space="0" w:color="auto"/>
      </w:divBdr>
    </w:div>
    <w:div w:id="1544781298">
      <w:bodyDiv w:val="1"/>
      <w:marLeft w:val="0"/>
      <w:marRight w:val="0"/>
      <w:marTop w:val="0"/>
      <w:marBottom w:val="0"/>
      <w:divBdr>
        <w:top w:val="none" w:sz="0" w:space="0" w:color="auto"/>
        <w:left w:val="none" w:sz="0" w:space="0" w:color="auto"/>
        <w:bottom w:val="none" w:sz="0" w:space="0" w:color="auto"/>
        <w:right w:val="none" w:sz="0" w:space="0" w:color="auto"/>
      </w:divBdr>
    </w:div>
    <w:div w:id="1560356806">
      <w:bodyDiv w:val="1"/>
      <w:marLeft w:val="0"/>
      <w:marRight w:val="0"/>
      <w:marTop w:val="0"/>
      <w:marBottom w:val="0"/>
      <w:divBdr>
        <w:top w:val="none" w:sz="0" w:space="0" w:color="auto"/>
        <w:left w:val="none" w:sz="0" w:space="0" w:color="auto"/>
        <w:bottom w:val="none" w:sz="0" w:space="0" w:color="auto"/>
        <w:right w:val="none" w:sz="0" w:space="0" w:color="auto"/>
      </w:divBdr>
    </w:div>
    <w:div w:id="1614165073">
      <w:bodyDiv w:val="1"/>
      <w:marLeft w:val="0"/>
      <w:marRight w:val="0"/>
      <w:marTop w:val="0"/>
      <w:marBottom w:val="0"/>
      <w:divBdr>
        <w:top w:val="none" w:sz="0" w:space="0" w:color="auto"/>
        <w:left w:val="none" w:sz="0" w:space="0" w:color="auto"/>
        <w:bottom w:val="none" w:sz="0" w:space="0" w:color="auto"/>
        <w:right w:val="none" w:sz="0" w:space="0" w:color="auto"/>
      </w:divBdr>
    </w:div>
    <w:div w:id="185448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is.com/research/buttonTFLink?_m=35eb43a45a20d490a72b3b08588673fe&amp;_xfercite=%3ccite%20cc%3d%22USA%22%3e%3c%21%5bCDATA%5b196%20Ga.%20App.%20572%5d%5d%3e%3c%2fcite%3e&amp;_butType=3&amp;_butStat=2&amp;_butNum=93&amp;_butInline=1&amp;_butinfo=%3ccite%20cc%3d%22USA%22%3e%3c%21%5bCDATA%5b231%20Ga.%20339%2c%20341%5d%5d%3e%3c%2fcite%3e&amp;_fmtstr=FULL&amp;docnum=10&amp;_startdoc=1&amp;wchp=dGLbVzk-zSkAA&amp;_md5=ba568516d528d84cd0f603ff0339a56d"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FD088-6167-4C1D-91FA-BF9D6F314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10386</Words>
  <Characters>59206</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GA Dept of Law</Company>
  <LinksUpToDate>false</LinksUpToDate>
  <CharactersWithSpaces>69454</CharactersWithSpaces>
  <SharedDoc>false</SharedDoc>
  <HLinks>
    <vt:vector size="6" baseType="variant">
      <vt:variant>
        <vt:i4>4063324</vt:i4>
      </vt:variant>
      <vt:variant>
        <vt:i4>0</vt:i4>
      </vt:variant>
      <vt:variant>
        <vt:i4>0</vt:i4>
      </vt:variant>
      <vt:variant>
        <vt:i4>5</vt:i4>
      </vt:variant>
      <vt:variant>
        <vt:lpwstr>http://www.lexis.com/research/buttonTFLink?_m=35eb43a45a20d490a72b3b08588673fe&amp;_xfercite=%3ccite%20cc%3d%22USA%22%3e%3c%21%5bCDATA%5b196%20Ga.%20App.%20572%5d%5d%3e%3c%2fcite%3e&amp;_butType=3&amp;_butStat=2&amp;_butNum=93&amp;_butInline=1&amp;_butinfo=%3ccite%20cc%3d%22USA%22%3e%3c%21%5bCDATA%5b231%20Ga.%20339%2c%20341%5d%5d%3e%3c%2fcite%3e&amp;_fmtstr=FULL&amp;docnum=10&amp;_startdoc=1&amp;wchp=dGLbVzk-zSkAA&amp;_md5=ba568516d528d84cd0f603ff0339a56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Walsh;Stan Grossman</dc:creator>
  <cp:lastModifiedBy>jeffreys</cp:lastModifiedBy>
  <cp:revision>9</cp:revision>
  <dcterms:created xsi:type="dcterms:W3CDTF">2017-12-19T17:52:00Z</dcterms:created>
  <dcterms:modified xsi:type="dcterms:W3CDTF">2017-12-19T18:02:00Z</dcterms:modified>
</cp:coreProperties>
</file>